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3DAF" w:rsidRPr="003F3DAF" w:rsidRDefault="00A6669F" w:rsidP="00A6669F">
      <w:pPr>
        <w:spacing w:after="0" w:line="240" w:lineRule="auto"/>
        <w:rPr>
          <w:rFonts w:ascii="Arial" w:hAnsi="Arial" w:cs="Arial"/>
          <w:sz w:val="32"/>
          <w:szCs w:val="32"/>
        </w:rPr>
      </w:pPr>
      <w:bookmarkStart w:id="0" w:name="_GoBack"/>
      <w:bookmarkEnd w:id="0"/>
      <w:r w:rsidRPr="003F3DAF">
        <w:rPr>
          <w:rFonts w:ascii="Arial" w:hAnsi="Arial" w:cs="Arial"/>
          <w:sz w:val="32"/>
          <w:szCs w:val="32"/>
        </w:rPr>
        <w:t>F2F Networking Event for Happy Families of Social Learning</w:t>
      </w:r>
    </w:p>
    <w:p w:rsidR="003F3DAF" w:rsidRDefault="003F3DAF" w:rsidP="00A6669F">
      <w:pPr>
        <w:spacing w:after="0" w:line="240" w:lineRule="auto"/>
        <w:rPr>
          <w:rFonts w:ascii="Arial" w:hAnsi="Arial" w:cs="Arial"/>
          <w:sz w:val="20"/>
          <w:szCs w:val="20"/>
        </w:rPr>
      </w:pPr>
    </w:p>
    <w:p w:rsidR="003F3DAF" w:rsidRDefault="003F3DAF" w:rsidP="00A6669F">
      <w:pPr>
        <w:spacing w:after="0" w:line="240" w:lineRule="auto"/>
        <w:rPr>
          <w:rFonts w:ascii="Arial" w:hAnsi="Arial" w:cs="Arial"/>
          <w:sz w:val="20"/>
          <w:szCs w:val="20"/>
        </w:rPr>
      </w:pPr>
      <w:r>
        <w:rPr>
          <w:rFonts w:ascii="Arial" w:hAnsi="Arial" w:cs="Arial"/>
          <w:sz w:val="20"/>
          <w:szCs w:val="20"/>
        </w:rPr>
        <w:t>Draft Concept Note 1</w:t>
      </w:r>
      <w:r w:rsidR="00AC31B0">
        <w:rPr>
          <w:rFonts w:ascii="Arial" w:hAnsi="Arial" w:cs="Arial"/>
          <w:sz w:val="20"/>
          <w:szCs w:val="20"/>
        </w:rPr>
        <w:t>2</w:t>
      </w:r>
      <w:r>
        <w:rPr>
          <w:rFonts w:ascii="Arial" w:hAnsi="Arial" w:cs="Arial"/>
          <w:sz w:val="20"/>
          <w:szCs w:val="20"/>
        </w:rPr>
        <w:t xml:space="preserve"> Dec 2014</w:t>
      </w:r>
    </w:p>
    <w:p w:rsidR="003F3DAF" w:rsidRDefault="003F3DAF" w:rsidP="00A6669F">
      <w:pPr>
        <w:spacing w:after="0" w:line="240" w:lineRule="auto"/>
        <w:rPr>
          <w:rFonts w:ascii="Arial" w:hAnsi="Arial" w:cs="Arial"/>
          <w:sz w:val="20"/>
          <w:szCs w:val="20"/>
        </w:rPr>
      </w:pPr>
    </w:p>
    <w:p w:rsidR="003F3DAF" w:rsidRDefault="003F3DAF" w:rsidP="00A6669F">
      <w:pPr>
        <w:spacing w:after="0" w:line="240" w:lineRule="auto"/>
        <w:rPr>
          <w:rFonts w:ascii="Arial" w:hAnsi="Arial" w:cs="Arial"/>
          <w:sz w:val="20"/>
          <w:szCs w:val="20"/>
        </w:rPr>
      </w:pPr>
      <w:r>
        <w:rPr>
          <w:rFonts w:ascii="Arial" w:hAnsi="Arial" w:cs="Arial"/>
          <w:sz w:val="20"/>
          <w:szCs w:val="20"/>
        </w:rPr>
        <w:t>Carl Jackson (Westhill Knowledge)</w:t>
      </w:r>
    </w:p>
    <w:p w:rsidR="003F3DAF" w:rsidRDefault="003F3DAF" w:rsidP="00A6669F">
      <w:pPr>
        <w:spacing w:after="0" w:line="240" w:lineRule="auto"/>
        <w:rPr>
          <w:rFonts w:ascii="Arial" w:hAnsi="Arial" w:cs="Arial"/>
          <w:sz w:val="20"/>
          <w:szCs w:val="20"/>
        </w:rPr>
      </w:pPr>
    </w:p>
    <w:p w:rsidR="003F3DAF" w:rsidRDefault="003F3DAF" w:rsidP="00A6669F">
      <w:pPr>
        <w:spacing w:after="0" w:line="240" w:lineRule="auto"/>
        <w:rPr>
          <w:rFonts w:ascii="Arial" w:hAnsi="Arial" w:cs="Arial"/>
          <w:sz w:val="20"/>
          <w:szCs w:val="20"/>
        </w:rPr>
      </w:pPr>
    </w:p>
    <w:p w:rsidR="003F3DAF" w:rsidRPr="003F3DAF" w:rsidRDefault="003F3DAF" w:rsidP="00A6669F">
      <w:pPr>
        <w:spacing w:after="0" w:line="240" w:lineRule="auto"/>
        <w:rPr>
          <w:rFonts w:ascii="Arial" w:hAnsi="Arial" w:cs="Arial"/>
          <w:b/>
          <w:sz w:val="24"/>
          <w:szCs w:val="20"/>
        </w:rPr>
      </w:pPr>
      <w:r w:rsidRPr="003F3DAF">
        <w:rPr>
          <w:rFonts w:ascii="Arial" w:hAnsi="Arial" w:cs="Arial"/>
          <w:b/>
          <w:sz w:val="24"/>
          <w:szCs w:val="20"/>
        </w:rPr>
        <w:t>Background</w:t>
      </w:r>
    </w:p>
    <w:p w:rsidR="00A6669F" w:rsidRDefault="00A6669F" w:rsidP="00A6669F">
      <w:pPr>
        <w:spacing w:after="0" w:line="240" w:lineRule="auto"/>
        <w:rPr>
          <w:rFonts w:ascii="Arial" w:hAnsi="Arial" w:cs="Arial"/>
          <w:sz w:val="20"/>
          <w:szCs w:val="20"/>
        </w:rPr>
      </w:pPr>
      <w:r>
        <w:rPr>
          <w:rFonts w:ascii="Arial" w:hAnsi="Arial" w:cs="Arial"/>
          <w:sz w:val="20"/>
          <w:szCs w:val="20"/>
        </w:rPr>
        <w:t xml:space="preserve">In </w:t>
      </w:r>
      <w:r w:rsidR="003F3DAF">
        <w:rPr>
          <w:rFonts w:ascii="Arial" w:hAnsi="Arial" w:cs="Arial"/>
          <w:sz w:val="20"/>
          <w:szCs w:val="20"/>
        </w:rPr>
        <w:t xml:space="preserve">December </w:t>
      </w:r>
      <w:r>
        <w:rPr>
          <w:rFonts w:ascii="Arial" w:hAnsi="Arial" w:cs="Arial"/>
          <w:sz w:val="20"/>
          <w:szCs w:val="20"/>
        </w:rPr>
        <w:t xml:space="preserve">2013 </w:t>
      </w:r>
      <w:r w:rsidR="003F3DAF">
        <w:rPr>
          <w:rFonts w:ascii="Arial" w:hAnsi="Arial" w:cs="Arial"/>
          <w:sz w:val="20"/>
          <w:szCs w:val="20"/>
        </w:rPr>
        <w:t xml:space="preserve">at the Core Group meeting in London </w:t>
      </w:r>
      <w:r>
        <w:rPr>
          <w:rFonts w:ascii="Arial" w:hAnsi="Arial" w:cs="Arial"/>
          <w:sz w:val="20"/>
          <w:szCs w:val="20"/>
        </w:rPr>
        <w:t>we describe</w:t>
      </w:r>
      <w:r w:rsidR="003F3DAF">
        <w:rPr>
          <w:rFonts w:ascii="Arial" w:hAnsi="Arial" w:cs="Arial"/>
          <w:sz w:val="20"/>
          <w:szCs w:val="20"/>
        </w:rPr>
        <w:t>d</w:t>
      </w:r>
      <w:r>
        <w:rPr>
          <w:rFonts w:ascii="Arial" w:hAnsi="Arial" w:cs="Arial"/>
          <w:sz w:val="20"/>
          <w:szCs w:val="20"/>
        </w:rPr>
        <w:t xml:space="preserve"> one of the three main areas of CCSL activity as being “</w:t>
      </w:r>
      <w:r w:rsidRPr="00A6669F">
        <w:rPr>
          <w:rFonts w:ascii="Arial" w:hAnsi="Arial" w:cs="Arial"/>
          <w:sz w:val="20"/>
          <w:szCs w:val="20"/>
        </w:rPr>
        <w:t xml:space="preserve">Bringing together communities to practice </w:t>
      </w:r>
      <w:r w:rsidR="00AC31B0">
        <w:rPr>
          <w:rFonts w:ascii="Arial" w:hAnsi="Arial" w:cs="Arial"/>
          <w:sz w:val="20"/>
          <w:szCs w:val="20"/>
        </w:rPr>
        <w:t>and</w:t>
      </w:r>
      <w:r w:rsidRPr="00A6669F">
        <w:rPr>
          <w:rFonts w:ascii="Arial" w:hAnsi="Arial" w:cs="Arial"/>
          <w:sz w:val="20"/>
          <w:szCs w:val="20"/>
        </w:rPr>
        <w:t xml:space="preserve"> advocate social learning methodologies</w:t>
      </w:r>
      <w:r>
        <w:rPr>
          <w:rFonts w:ascii="Arial" w:hAnsi="Arial" w:cs="Arial"/>
          <w:sz w:val="20"/>
          <w:szCs w:val="20"/>
        </w:rPr>
        <w:t xml:space="preserve">”. </w:t>
      </w:r>
      <w:r w:rsidR="001F5FA0">
        <w:rPr>
          <w:rFonts w:ascii="Arial" w:hAnsi="Arial" w:cs="Arial"/>
          <w:sz w:val="20"/>
          <w:szCs w:val="20"/>
        </w:rPr>
        <w:t>Within this activity area</w:t>
      </w:r>
      <w:r w:rsidR="00735D26">
        <w:rPr>
          <w:rFonts w:ascii="Arial" w:hAnsi="Arial" w:cs="Arial"/>
          <w:sz w:val="20"/>
          <w:szCs w:val="20"/>
        </w:rPr>
        <w:t>,</w:t>
      </w:r>
      <w:r w:rsidR="001F5FA0">
        <w:rPr>
          <w:rFonts w:ascii="Arial" w:hAnsi="Arial" w:cs="Arial"/>
          <w:sz w:val="20"/>
          <w:szCs w:val="20"/>
        </w:rPr>
        <w:t xml:space="preserve"> the idea to have a f</w:t>
      </w:r>
      <w:r w:rsidR="001F5FA0" w:rsidRPr="001F5FA0">
        <w:rPr>
          <w:rFonts w:ascii="Arial" w:hAnsi="Arial" w:cs="Arial"/>
          <w:sz w:val="20"/>
          <w:szCs w:val="20"/>
        </w:rPr>
        <w:t>ace-to-face event to convene communities of practice</w:t>
      </w:r>
      <w:r w:rsidR="001F5FA0">
        <w:rPr>
          <w:rFonts w:ascii="Arial" w:hAnsi="Arial" w:cs="Arial"/>
          <w:sz w:val="20"/>
          <w:szCs w:val="20"/>
        </w:rPr>
        <w:t xml:space="preserve"> related to social learning and produce a tangible product </w:t>
      </w:r>
      <w:r w:rsidR="00735D26">
        <w:rPr>
          <w:rFonts w:ascii="Arial" w:hAnsi="Arial" w:cs="Arial"/>
          <w:sz w:val="20"/>
          <w:szCs w:val="20"/>
        </w:rPr>
        <w:t>was suggested for the last quarter of 2014. A thumbnail costing of US$125,00</w:t>
      </w:r>
      <w:r w:rsidR="003F3DAF">
        <w:rPr>
          <w:rFonts w:ascii="Arial" w:hAnsi="Arial" w:cs="Arial"/>
          <w:sz w:val="20"/>
          <w:szCs w:val="20"/>
        </w:rPr>
        <w:t>0</w:t>
      </w:r>
      <w:r w:rsidR="00735D26">
        <w:rPr>
          <w:rFonts w:ascii="Arial" w:hAnsi="Arial" w:cs="Arial"/>
          <w:sz w:val="20"/>
          <w:szCs w:val="20"/>
        </w:rPr>
        <w:t xml:space="preserve"> was made on the assumption of piggy-backing on another event</w:t>
      </w:r>
      <w:r w:rsidR="001F5FA0">
        <w:rPr>
          <w:rFonts w:ascii="Arial" w:hAnsi="Arial" w:cs="Arial"/>
          <w:sz w:val="20"/>
          <w:szCs w:val="20"/>
        </w:rPr>
        <w:t>.  A mixture of networks/organisations and individuals were mentioned as potential participants in th</w:t>
      </w:r>
      <w:r w:rsidR="00735D26">
        <w:rPr>
          <w:rFonts w:ascii="Arial" w:hAnsi="Arial" w:cs="Arial"/>
          <w:sz w:val="20"/>
          <w:szCs w:val="20"/>
        </w:rPr>
        <w:t>e</w:t>
      </w:r>
      <w:r w:rsidR="001F5FA0">
        <w:rPr>
          <w:rFonts w:ascii="Arial" w:hAnsi="Arial" w:cs="Arial"/>
          <w:sz w:val="20"/>
          <w:szCs w:val="20"/>
        </w:rPr>
        <w:t xml:space="preserve"> event:</w:t>
      </w:r>
    </w:p>
    <w:p w:rsidR="003F3DAF" w:rsidRDefault="003F3DAF" w:rsidP="001F5FA0">
      <w:pPr>
        <w:spacing w:after="0" w:line="240" w:lineRule="auto"/>
        <w:rPr>
          <w:rFonts w:ascii="Arial" w:hAnsi="Arial" w:cs="Arial"/>
          <w:sz w:val="20"/>
          <w:szCs w:val="20"/>
        </w:rPr>
      </w:pPr>
    </w:p>
    <w:tbl>
      <w:tblPr>
        <w:tblW w:w="0" w:type="auto"/>
        <w:tblLook w:val="04A0" w:firstRow="1" w:lastRow="0" w:firstColumn="1" w:lastColumn="0" w:noHBand="0" w:noVBand="1"/>
      </w:tblPr>
      <w:tblGrid>
        <w:gridCol w:w="4621"/>
        <w:gridCol w:w="4621"/>
      </w:tblGrid>
      <w:tr w:rsidR="003F3DAF" w:rsidRPr="00747A20" w:rsidTr="00747A20">
        <w:tc>
          <w:tcPr>
            <w:tcW w:w="4621" w:type="dxa"/>
          </w:tcPr>
          <w:p w:rsidR="003F3DAF" w:rsidRPr="00747A20" w:rsidRDefault="003F3DAF" w:rsidP="00747A20">
            <w:pPr>
              <w:numPr>
                <w:ilvl w:val="0"/>
                <w:numId w:val="1"/>
              </w:numPr>
              <w:spacing w:after="0" w:line="240" w:lineRule="auto"/>
              <w:rPr>
                <w:rFonts w:ascii="Arial" w:hAnsi="Arial" w:cs="Arial"/>
                <w:sz w:val="20"/>
                <w:szCs w:val="20"/>
              </w:rPr>
            </w:pPr>
            <w:r w:rsidRPr="00747A20">
              <w:rPr>
                <w:rFonts w:ascii="Arial" w:hAnsi="Arial" w:cs="Arial"/>
                <w:sz w:val="20"/>
                <w:szCs w:val="20"/>
              </w:rPr>
              <w:t>Parade CoP</w:t>
            </w:r>
          </w:p>
          <w:p w:rsidR="003F3DAF" w:rsidRPr="00747A20" w:rsidRDefault="003F3DAF" w:rsidP="00747A20">
            <w:pPr>
              <w:numPr>
                <w:ilvl w:val="0"/>
                <w:numId w:val="1"/>
              </w:numPr>
              <w:spacing w:after="0" w:line="240" w:lineRule="auto"/>
              <w:rPr>
                <w:rFonts w:ascii="Arial" w:hAnsi="Arial" w:cs="Arial"/>
                <w:sz w:val="20"/>
                <w:szCs w:val="20"/>
              </w:rPr>
            </w:pPr>
            <w:r w:rsidRPr="00747A20">
              <w:rPr>
                <w:rFonts w:ascii="Arial" w:hAnsi="Arial" w:cs="Arial"/>
                <w:sz w:val="20"/>
                <w:szCs w:val="20"/>
              </w:rPr>
              <w:t>Other CRPs (HT / AAS / Drylands)</w:t>
            </w:r>
          </w:p>
          <w:p w:rsidR="003F3DAF" w:rsidRPr="00747A20" w:rsidRDefault="003F3DAF" w:rsidP="00747A20">
            <w:pPr>
              <w:numPr>
                <w:ilvl w:val="0"/>
                <w:numId w:val="1"/>
              </w:numPr>
              <w:spacing w:after="0" w:line="240" w:lineRule="auto"/>
              <w:rPr>
                <w:rFonts w:ascii="Arial" w:hAnsi="Arial" w:cs="Arial"/>
                <w:sz w:val="20"/>
                <w:szCs w:val="20"/>
              </w:rPr>
            </w:pPr>
            <w:r w:rsidRPr="00747A20">
              <w:rPr>
                <w:rFonts w:ascii="Arial" w:hAnsi="Arial" w:cs="Arial"/>
                <w:sz w:val="20"/>
                <w:szCs w:val="20"/>
              </w:rPr>
              <w:t>CG Gender</w:t>
            </w:r>
          </w:p>
          <w:p w:rsidR="003F3DAF" w:rsidRPr="00747A20" w:rsidRDefault="003F3DAF" w:rsidP="00747A20">
            <w:pPr>
              <w:numPr>
                <w:ilvl w:val="0"/>
                <w:numId w:val="1"/>
              </w:numPr>
              <w:spacing w:after="0" w:line="240" w:lineRule="auto"/>
              <w:rPr>
                <w:rFonts w:ascii="Arial" w:hAnsi="Arial" w:cs="Arial"/>
                <w:sz w:val="20"/>
                <w:szCs w:val="20"/>
              </w:rPr>
            </w:pPr>
            <w:r w:rsidRPr="00747A20">
              <w:rPr>
                <w:rFonts w:ascii="Arial" w:hAnsi="Arial" w:cs="Arial"/>
                <w:sz w:val="20"/>
                <w:szCs w:val="20"/>
              </w:rPr>
              <w:t>CRP Design Process (phase 2)</w:t>
            </w:r>
          </w:p>
          <w:p w:rsidR="003F3DAF" w:rsidRPr="00747A20" w:rsidRDefault="003F3DAF" w:rsidP="00747A20">
            <w:pPr>
              <w:numPr>
                <w:ilvl w:val="0"/>
                <w:numId w:val="1"/>
              </w:numPr>
              <w:spacing w:after="0" w:line="240" w:lineRule="auto"/>
              <w:rPr>
                <w:rFonts w:ascii="Arial" w:hAnsi="Arial" w:cs="Arial"/>
                <w:sz w:val="20"/>
                <w:szCs w:val="20"/>
              </w:rPr>
            </w:pPr>
            <w:r w:rsidRPr="00747A20">
              <w:rPr>
                <w:rFonts w:ascii="Arial" w:hAnsi="Arial" w:cs="Arial"/>
                <w:sz w:val="20"/>
                <w:szCs w:val="20"/>
              </w:rPr>
              <w:t>IDS</w:t>
            </w:r>
          </w:p>
          <w:p w:rsidR="003F3DAF" w:rsidRPr="00747A20" w:rsidRDefault="003F3DAF" w:rsidP="00747A20">
            <w:pPr>
              <w:numPr>
                <w:ilvl w:val="0"/>
                <w:numId w:val="1"/>
              </w:numPr>
              <w:spacing w:after="0" w:line="240" w:lineRule="auto"/>
              <w:rPr>
                <w:rFonts w:ascii="Arial" w:hAnsi="Arial" w:cs="Arial"/>
                <w:sz w:val="20"/>
                <w:szCs w:val="20"/>
              </w:rPr>
            </w:pPr>
            <w:r w:rsidRPr="00747A20">
              <w:rPr>
                <w:rFonts w:ascii="Arial" w:hAnsi="Arial" w:cs="Arial"/>
                <w:sz w:val="20"/>
                <w:szCs w:val="20"/>
              </w:rPr>
              <w:t>FARA</w:t>
            </w:r>
          </w:p>
          <w:p w:rsidR="003F3DAF" w:rsidRPr="00747A20" w:rsidRDefault="003F3DAF" w:rsidP="00747A20">
            <w:pPr>
              <w:numPr>
                <w:ilvl w:val="0"/>
                <w:numId w:val="1"/>
              </w:numPr>
              <w:spacing w:after="0" w:line="240" w:lineRule="auto"/>
              <w:rPr>
                <w:rFonts w:ascii="Arial" w:hAnsi="Arial" w:cs="Arial"/>
                <w:sz w:val="20"/>
                <w:szCs w:val="20"/>
              </w:rPr>
            </w:pPr>
            <w:r w:rsidRPr="00747A20">
              <w:rPr>
                <w:rFonts w:ascii="Arial" w:hAnsi="Arial" w:cs="Arial"/>
                <w:sz w:val="20"/>
                <w:szCs w:val="20"/>
              </w:rPr>
              <w:t>ODI / Rapid / Aid on the Edge</w:t>
            </w:r>
          </w:p>
          <w:p w:rsidR="003F3DAF" w:rsidRPr="00747A20" w:rsidRDefault="003F3DAF" w:rsidP="00747A20">
            <w:pPr>
              <w:numPr>
                <w:ilvl w:val="0"/>
                <w:numId w:val="1"/>
              </w:numPr>
              <w:spacing w:after="0" w:line="240" w:lineRule="auto"/>
              <w:rPr>
                <w:rFonts w:ascii="Arial" w:hAnsi="Arial" w:cs="Arial"/>
                <w:sz w:val="20"/>
                <w:szCs w:val="20"/>
              </w:rPr>
            </w:pPr>
            <w:r w:rsidRPr="00747A20">
              <w:rPr>
                <w:rFonts w:ascii="Arial" w:hAnsi="Arial" w:cs="Arial"/>
                <w:sz w:val="20"/>
                <w:szCs w:val="20"/>
              </w:rPr>
              <w:t>KM4Dev</w:t>
            </w:r>
          </w:p>
          <w:p w:rsidR="003F3DAF" w:rsidRPr="00747A20" w:rsidRDefault="003F3DAF" w:rsidP="00747A20">
            <w:pPr>
              <w:numPr>
                <w:ilvl w:val="0"/>
                <w:numId w:val="1"/>
              </w:numPr>
              <w:spacing w:after="0" w:line="240" w:lineRule="auto"/>
              <w:rPr>
                <w:rFonts w:ascii="Arial" w:hAnsi="Arial" w:cs="Arial"/>
                <w:sz w:val="20"/>
                <w:szCs w:val="20"/>
              </w:rPr>
            </w:pPr>
            <w:r w:rsidRPr="00747A20">
              <w:rPr>
                <w:rFonts w:ascii="Arial" w:hAnsi="Arial" w:cs="Arial"/>
                <w:sz w:val="20"/>
                <w:szCs w:val="20"/>
              </w:rPr>
              <w:t>Knowledge Brokers Forum</w:t>
            </w:r>
          </w:p>
          <w:p w:rsidR="003F3DAF" w:rsidRPr="00747A20" w:rsidRDefault="003F3DAF" w:rsidP="00747A20">
            <w:pPr>
              <w:numPr>
                <w:ilvl w:val="0"/>
                <w:numId w:val="1"/>
              </w:numPr>
              <w:spacing w:after="0" w:line="240" w:lineRule="auto"/>
              <w:rPr>
                <w:rFonts w:ascii="Arial" w:hAnsi="Arial" w:cs="Arial"/>
                <w:sz w:val="20"/>
                <w:szCs w:val="20"/>
              </w:rPr>
            </w:pPr>
            <w:r w:rsidRPr="00747A20">
              <w:rPr>
                <w:rFonts w:ascii="Arial" w:hAnsi="Arial" w:cs="Arial"/>
                <w:sz w:val="20"/>
                <w:szCs w:val="20"/>
              </w:rPr>
              <w:t>Carla, Petra</w:t>
            </w:r>
          </w:p>
          <w:p w:rsidR="003F3DAF" w:rsidRPr="00747A20" w:rsidRDefault="003F3DAF" w:rsidP="00747A20">
            <w:pPr>
              <w:numPr>
                <w:ilvl w:val="0"/>
                <w:numId w:val="1"/>
              </w:numPr>
              <w:spacing w:after="0" w:line="240" w:lineRule="auto"/>
              <w:rPr>
                <w:rFonts w:ascii="Arial" w:hAnsi="Arial" w:cs="Arial"/>
                <w:sz w:val="20"/>
                <w:szCs w:val="20"/>
              </w:rPr>
            </w:pPr>
            <w:r w:rsidRPr="00747A20">
              <w:rPr>
                <w:rFonts w:ascii="Arial" w:hAnsi="Arial" w:cs="Arial"/>
                <w:sz w:val="20"/>
                <w:szCs w:val="20"/>
              </w:rPr>
              <w:t>CIM / GIZ</w:t>
            </w:r>
          </w:p>
          <w:p w:rsidR="003F3DAF" w:rsidRPr="00747A20" w:rsidRDefault="003F3DAF" w:rsidP="00747A20">
            <w:pPr>
              <w:numPr>
                <w:ilvl w:val="0"/>
                <w:numId w:val="1"/>
              </w:numPr>
              <w:spacing w:after="0" w:line="240" w:lineRule="auto"/>
              <w:rPr>
                <w:rFonts w:ascii="Arial" w:hAnsi="Arial" w:cs="Arial"/>
                <w:sz w:val="20"/>
                <w:szCs w:val="20"/>
              </w:rPr>
            </w:pPr>
            <w:r w:rsidRPr="00747A20">
              <w:rPr>
                <w:rFonts w:ascii="Arial" w:hAnsi="Arial" w:cs="Arial"/>
                <w:sz w:val="20"/>
                <w:szCs w:val="20"/>
              </w:rPr>
              <w:t>CARE ALP</w:t>
            </w:r>
          </w:p>
          <w:p w:rsidR="003F3DAF" w:rsidRPr="00747A20" w:rsidRDefault="003F3DAF" w:rsidP="00747A20">
            <w:pPr>
              <w:numPr>
                <w:ilvl w:val="0"/>
                <w:numId w:val="1"/>
              </w:numPr>
              <w:spacing w:after="0" w:line="240" w:lineRule="auto"/>
              <w:rPr>
                <w:rFonts w:ascii="Arial" w:hAnsi="Arial" w:cs="Arial"/>
                <w:sz w:val="20"/>
                <w:szCs w:val="20"/>
              </w:rPr>
            </w:pPr>
            <w:r w:rsidRPr="00747A20">
              <w:rPr>
                <w:rFonts w:ascii="Arial" w:hAnsi="Arial" w:cs="Arial"/>
                <w:sz w:val="20"/>
                <w:szCs w:val="20"/>
              </w:rPr>
              <w:t>Prolinova</w:t>
            </w:r>
          </w:p>
          <w:p w:rsidR="003F3DAF" w:rsidRPr="00747A20" w:rsidRDefault="003F3DAF" w:rsidP="00747A20">
            <w:pPr>
              <w:numPr>
                <w:ilvl w:val="0"/>
                <w:numId w:val="1"/>
              </w:numPr>
              <w:spacing w:after="0" w:line="240" w:lineRule="auto"/>
              <w:rPr>
                <w:rFonts w:ascii="Arial" w:hAnsi="Arial" w:cs="Arial"/>
                <w:sz w:val="20"/>
                <w:szCs w:val="20"/>
              </w:rPr>
            </w:pPr>
            <w:r w:rsidRPr="00747A20">
              <w:rPr>
                <w:rFonts w:ascii="Arial" w:hAnsi="Arial" w:cs="Arial"/>
                <w:sz w:val="20"/>
                <w:szCs w:val="20"/>
              </w:rPr>
              <w:t>IIED</w:t>
            </w:r>
          </w:p>
          <w:p w:rsidR="003F3DAF" w:rsidRDefault="003F3DAF" w:rsidP="00747A20">
            <w:pPr>
              <w:numPr>
                <w:ilvl w:val="0"/>
                <w:numId w:val="1"/>
              </w:numPr>
              <w:spacing w:after="0" w:line="240" w:lineRule="auto"/>
              <w:rPr>
                <w:rFonts w:ascii="Arial" w:hAnsi="Arial" w:cs="Arial"/>
                <w:sz w:val="20"/>
                <w:szCs w:val="20"/>
              </w:rPr>
            </w:pPr>
            <w:r w:rsidRPr="00747A20">
              <w:rPr>
                <w:rFonts w:ascii="Arial" w:hAnsi="Arial" w:cs="Arial"/>
                <w:sz w:val="20"/>
                <w:szCs w:val="20"/>
              </w:rPr>
              <w:t>Shamba Shapeup</w:t>
            </w:r>
          </w:p>
          <w:p w:rsidR="006558FA" w:rsidRPr="00747A20" w:rsidRDefault="006558FA" w:rsidP="00747A20">
            <w:pPr>
              <w:numPr>
                <w:ilvl w:val="0"/>
                <w:numId w:val="1"/>
              </w:numPr>
              <w:spacing w:after="0" w:line="240" w:lineRule="auto"/>
              <w:rPr>
                <w:rFonts w:ascii="Arial" w:hAnsi="Arial" w:cs="Arial"/>
                <w:sz w:val="20"/>
                <w:szCs w:val="20"/>
              </w:rPr>
            </w:pPr>
            <w:r>
              <w:rPr>
                <w:rFonts w:ascii="Arial" w:hAnsi="Arial" w:cs="Arial"/>
                <w:sz w:val="20"/>
                <w:szCs w:val="20"/>
              </w:rPr>
              <w:t>FAO Family Farming</w:t>
            </w:r>
          </w:p>
          <w:p w:rsidR="003F3DAF" w:rsidRPr="00747A20" w:rsidRDefault="003F3DAF" w:rsidP="00747A20">
            <w:pPr>
              <w:spacing w:after="0" w:line="240" w:lineRule="auto"/>
              <w:rPr>
                <w:rFonts w:ascii="Arial" w:hAnsi="Arial" w:cs="Arial"/>
                <w:sz w:val="20"/>
                <w:szCs w:val="20"/>
              </w:rPr>
            </w:pPr>
          </w:p>
        </w:tc>
        <w:tc>
          <w:tcPr>
            <w:tcW w:w="4621" w:type="dxa"/>
          </w:tcPr>
          <w:p w:rsidR="003F3DAF" w:rsidRPr="00747A20" w:rsidRDefault="003F3DAF" w:rsidP="00747A20">
            <w:pPr>
              <w:numPr>
                <w:ilvl w:val="0"/>
                <w:numId w:val="1"/>
              </w:numPr>
              <w:spacing w:after="0" w:line="240" w:lineRule="auto"/>
              <w:rPr>
                <w:rFonts w:ascii="Arial" w:hAnsi="Arial" w:cs="Arial"/>
                <w:sz w:val="20"/>
                <w:szCs w:val="20"/>
              </w:rPr>
            </w:pPr>
            <w:r w:rsidRPr="00747A20">
              <w:rPr>
                <w:rFonts w:ascii="Arial" w:hAnsi="Arial" w:cs="Arial"/>
                <w:sz w:val="20"/>
                <w:szCs w:val="20"/>
              </w:rPr>
              <w:t>Univ of Reading</w:t>
            </w:r>
          </w:p>
          <w:p w:rsidR="003F3DAF" w:rsidRPr="00747A20" w:rsidRDefault="003F3DAF" w:rsidP="00747A20">
            <w:pPr>
              <w:numPr>
                <w:ilvl w:val="0"/>
                <w:numId w:val="1"/>
              </w:numPr>
              <w:spacing w:after="0" w:line="240" w:lineRule="auto"/>
              <w:rPr>
                <w:rFonts w:ascii="Arial" w:hAnsi="Arial" w:cs="Arial"/>
                <w:sz w:val="20"/>
                <w:szCs w:val="20"/>
              </w:rPr>
            </w:pPr>
            <w:r w:rsidRPr="00747A20">
              <w:rPr>
                <w:rFonts w:ascii="Arial" w:hAnsi="Arial" w:cs="Arial"/>
                <w:sz w:val="20"/>
                <w:szCs w:val="20"/>
              </w:rPr>
              <w:t>Oxford</w:t>
            </w:r>
          </w:p>
          <w:p w:rsidR="003F3DAF" w:rsidRPr="00747A20" w:rsidRDefault="003F3DAF" w:rsidP="00747A20">
            <w:pPr>
              <w:numPr>
                <w:ilvl w:val="0"/>
                <w:numId w:val="1"/>
              </w:numPr>
              <w:spacing w:after="0" w:line="240" w:lineRule="auto"/>
              <w:rPr>
                <w:rFonts w:ascii="Arial" w:hAnsi="Arial" w:cs="Arial"/>
                <w:sz w:val="20"/>
                <w:szCs w:val="20"/>
              </w:rPr>
            </w:pPr>
            <w:r w:rsidRPr="00747A20">
              <w:rPr>
                <w:rFonts w:ascii="Arial" w:hAnsi="Arial" w:cs="Arial"/>
                <w:sz w:val="20"/>
                <w:szCs w:val="20"/>
              </w:rPr>
              <w:t>ILRI / CG Cap Dev</w:t>
            </w:r>
          </w:p>
          <w:p w:rsidR="003F3DAF" w:rsidRPr="00747A20" w:rsidRDefault="003F3DAF" w:rsidP="00747A20">
            <w:pPr>
              <w:numPr>
                <w:ilvl w:val="0"/>
                <w:numId w:val="1"/>
              </w:numPr>
              <w:spacing w:after="0" w:line="240" w:lineRule="auto"/>
              <w:rPr>
                <w:rFonts w:ascii="Arial" w:hAnsi="Arial" w:cs="Arial"/>
                <w:sz w:val="20"/>
                <w:szCs w:val="20"/>
              </w:rPr>
            </w:pPr>
            <w:r w:rsidRPr="00747A20">
              <w:rPr>
                <w:rFonts w:ascii="Arial" w:hAnsi="Arial" w:cs="Arial"/>
                <w:sz w:val="20"/>
                <w:szCs w:val="20"/>
              </w:rPr>
              <w:t>UNDP</w:t>
            </w:r>
          </w:p>
          <w:p w:rsidR="003F3DAF" w:rsidRPr="00747A20" w:rsidRDefault="003F3DAF" w:rsidP="00747A20">
            <w:pPr>
              <w:numPr>
                <w:ilvl w:val="0"/>
                <w:numId w:val="1"/>
              </w:numPr>
              <w:spacing w:after="0" w:line="240" w:lineRule="auto"/>
              <w:rPr>
                <w:rFonts w:ascii="Arial" w:hAnsi="Arial" w:cs="Arial"/>
                <w:sz w:val="20"/>
                <w:szCs w:val="20"/>
              </w:rPr>
            </w:pPr>
            <w:r w:rsidRPr="00747A20">
              <w:rPr>
                <w:rFonts w:ascii="Arial" w:hAnsi="Arial" w:cs="Arial"/>
                <w:sz w:val="20"/>
                <w:szCs w:val="20"/>
              </w:rPr>
              <w:t>CC World (Bonn, WCMC, UNEP)</w:t>
            </w:r>
          </w:p>
          <w:p w:rsidR="003F3DAF" w:rsidRPr="00747A20" w:rsidRDefault="003F3DAF" w:rsidP="00747A20">
            <w:pPr>
              <w:numPr>
                <w:ilvl w:val="0"/>
                <w:numId w:val="1"/>
              </w:numPr>
              <w:spacing w:after="0" w:line="240" w:lineRule="auto"/>
              <w:rPr>
                <w:rFonts w:ascii="Arial" w:hAnsi="Arial" w:cs="Arial"/>
                <w:sz w:val="20"/>
                <w:szCs w:val="20"/>
              </w:rPr>
            </w:pPr>
            <w:r w:rsidRPr="00747A20">
              <w:rPr>
                <w:rFonts w:ascii="Arial" w:hAnsi="Arial" w:cs="Arial"/>
                <w:sz w:val="20"/>
                <w:szCs w:val="20"/>
              </w:rPr>
              <w:t>ICT4Ag Ethiopia</w:t>
            </w:r>
          </w:p>
          <w:p w:rsidR="003F3DAF" w:rsidRPr="00747A20" w:rsidRDefault="00DB3403" w:rsidP="00747A20">
            <w:pPr>
              <w:numPr>
                <w:ilvl w:val="0"/>
                <w:numId w:val="1"/>
              </w:numPr>
              <w:spacing w:after="0" w:line="240" w:lineRule="auto"/>
              <w:rPr>
                <w:rFonts w:ascii="Arial" w:hAnsi="Arial" w:cs="Arial"/>
                <w:sz w:val="20"/>
                <w:szCs w:val="20"/>
              </w:rPr>
            </w:pPr>
            <w:r>
              <w:rPr>
                <w:rFonts w:ascii="Arial" w:hAnsi="Arial" w:cs="Arial"/>
                <w:sz w:val="20"/>
                <w:szCs w:val="20"/>
              </w:rPr>
              <w:t>Make</w:t>
            </w:r>
            <w:r w:rsidRPr="00747A20">
              <w:rPr>
                <w:rFonts w:ascii="Arial" w:hAnsi="Arial" w:cs="Arial"/>
                <w:sz w:val="20"/>
                <w:szCs w:val="20"/>
              </w:rPr>
              <w:t>re</w:t>
            </w:r>
            <w:r>
              <w:rPr>
                <w:rFonts w:ascii="Arial" w:hAnsi="Arial" w:cs="Arial"/>
                <w:sz w:val="20"/>
                <w:szCs w:val="20"/>
              </w:rPr>
              <w:t>r</w:t>
            </w:r>
            <w:r w:rsidRPr="00747A20">
              <w:rPr>
                <w:rFonts w:ascii="Arial" w:hAnsi="Arial" w:cs="Arial"/>
                <w:sz w:val="20"/>
                <w:szCs w:val="20"/>
              </w:rPr>
              <w:t>e</w:t>
            </w:r>
            <w:r w:rsidR="003F3DAF" w:rsidRPr="00747A20">
              <w:rPr>
                <w:rFonts w:ascii="Arial" w:hAnsi="Arial" w:cs="Arial"/>
                <w:sz w:val="20"/>
                <w:szCs w:val="20"/>
              </w:rPr>
              <w:t xml:space="preserve"> University Hoima IWM (Moses Tenywa, Alex Zizinga, Gerd Foerch)</w:t>
            </w:r>
          </w:p>
          <w:p w:rsidR="003F3DAF" w:rsidRPr="00747A20" w:rsidRDefault="003F3DAF" w:rsidP="00747A20">
            <w:pPr>
              <w:numPr>
                <w:ilvl w:val="0"/>
                <w:numId w:val="1"/>
              </w:numPr>
              <w:spacing w:after="0" w:line="240" w:lineRule="auto"/>
              <w:rPr>
                <w:rFonts w:ascii="Arial" w:hAnsi="Arial" w:cs="Arial"/>
                <w:sz w:val="20"/>
                <w:szCs w:val="20"/>
              </w:rPr>
            </w:pPr>
            <w:r w:rsidRPr="00747A20">
              <w:rPr>
                <w:rFonts w:ascii="Arial" w:hAnsi="Arial" w:cs="Arial"/>
                <w:sz w:val="20"/>
                <w:szCs w:val="20"/>
              </w:rPr>
              <w:t>CARIAA</w:t>
            </w:r>
          </w:p>
          <w:p w:rsidR="003F3DAF" w:rsidRPr="00747A20" w:rsidRDefault="003F3DAF" w:rsidP="00747A20">
            <w:pPr>
              <w:numPr>
                <w:ilvl w:val="0"/>
                <w:numId w:val="1"/>
              </w:numPr>
              <w:spacing w:after="0" w:line="240" w:lineRule="auto"/>
              <w:rPr>
                <w:rFonts w:ascii="Arial" w:hAnsi="Arial" w:cs="Arial"/>
                <w:sz w:val="20"/>
                <w:szCs w:val="20"/>
              </w:rPr>
            </w:pPr>
            <w:r w:rsidRPr="00747A20">
              <w:rPr>
                <w:rFonts w:ascii="Arial" w:hAnsi="Arial" w:cs="Arial"/>
                <w:sz w:val="20"/>
                <w:szCs w:val="20"/>
              </w:rPr>
              <w:t>CSIRO / FSIFS</w:t>
            </w:r>
          </w:p>
          <w:p w:rsidR="003F3DAF" w:rsidRPr="00747A20" w:rsidRDefault="003F3DAF" w:rsidP="00747A20">
            <w:pPr>
              <w:numPr>
                <w:ilvl w:val="0"/>
                <w:numId w:val="1"/>
              </w:numPr>
              <w:spacing w:after="0" w:line="240" w:lineRule="auto"/>
              <w:rPr>
                <w:rFonts w:ascii="Arial" w:hAnsi="Arial" w:cs="Arial"/>
                <w:sz w:val="20"/>
                <w:szCs w:val="20"/>
              </w:rPr>
            </w:pPr>
            <w:r w:rsidRPr="00747A20">
              <w:rPr>
                <w:rFonts w:ascii="Arial" w:hAnsi="Arial" w:cs="Arial"/>
                <w:sz w:val="20"/>
                <w:szCs w:val="20"/>
              </w:rPr>
              <w:t>KMC4CRP 3</w:t>
            </w:r>
          </w:p>
          <w:p w:rsidR="003F3DAF" w:rsidRPr="00747A20" w:rsidRDefault="003F3DAF" w:rsidP="00747A20">
            <w:pPr>
              <w:numPr>
                <w:ilvl w:val="0"/>
                <w:numId w:val="1"/>
              </w:numPr>
              <w:spacing w:after="0" w:line="240" w:lineRule="auto"/>
              <w:rPr>
                <w:rFonts w:ascii="Arial" w:hAnsi="Arial" w:cs="Arial"/>
                <w:sz w:val="20"/>
                <w:szCs w:val="20"/>
              </w:rPr>
            </w:pPr>
            <w:r w:rsidRPr="00747A20">
              <w:rPr>
                <w:rFonts w:ascii="Arial" w:hAnsi="Arial" w:cs="Arial"/>
                <w:sz w:val="20"/>
                <w:szCs w:val="20"/>
              </w:rPr>
              <w:t>Andy Hall, MS Reed, WWF Andy??, C. Leeuwis</w:t>
            </w:r>
          </w:p>
          <w:p w:rsidR="003F3DAF" w:rsidRPr="00747A20" w:rsidRDefault="003F3DAF" w:rsidP="00747A20">
            <w:pPr>
              <w:numPr>
                <w:ilvl w:val="0"/>
                <w:numId w:val="1"/>
              </w:numPr>
              <w:spacing w:after="0" w:line="240" w:lineRule="auto"/>
              <w:rPr>
                <w:rFonts w:ascii="Arial" w:hAnsi="Arial" w:cs="Arial"/>
                <w:sz w:val="20"/>
                <w:szCs w:val="20"/>
              </w:rPr>
            </w:pPr>
            <w:r w:rsidRPr="00747A20">
              <w:rPr>
                <w:rFonts w:ascii="Arial" w:hAnsi="Arial" w:cs="Arial"/>
                <w:sz w:val="20"/>
                <w:szCs w:val="20"/>
              </w:rPr>
              <w:t>WUR people</w:t>
            </w:r>
          </w:p>
          <w:p w:rsidR="003F3DAF" w:rsidRPr="00747A20" w:rsidRDefault="003F3DAF" w:rsidP="00747A20">
            <w:pPr>
              <w:numPr>
                <w:ilvl w:val="0"/>
                <w:numId w:val="1"/>
              </w:numPr>
              <w:spacing w:after="0" w:line="240" w:lineRule="auto"/>
              <w:rPr>
                <w:rFonts w:ascii="Arial" w:hAnsi="Arial" w:cs="Arial"/>
                <w:sz w:val="20"/>
                <w:szCs w:val="20"/>
              </w:rPr>
            </w:pPr>
            <w:r w:rsidRPr="00747A20">
              <w:rPr>
                <w:rFonts w:ascii="Arial" w:hAnsi="Arial" w:cs="Arial"/>
                <w:sz w:val="20"/>
                <w:szCs w:val="20"/>
              </w:rPr>
              <w:t>Sandbox Yammer Members</w:t>
            </w:r>
          </w:p>
          <w:p w:rsidR="003F3DAF" w:rsidRPr="00747A20" w:rsidRDefault="003F3DAF" w:rsidP="00747A20">
            <w:pPr>
              <w:spacing w:after="0" w:line="240" w:lineRule="auto"/>
              <w:rPr>
                <w:rFonts w:ascii="Arial" w:hAnsi="Arial" w:cs="Arial"/>
                <w:sz w:val="20"/>
                <w:szCs w:val="20"/>
              </w:rPr>
            </w:pPr>
          </w:p>
        </w:tc>
      </w:tr>
    </w:tbl>
    <w:p w:rsidR="006558FA" w:rsidRDefault="00151D31" w:rsidP="001F5FA0">
      <w:pPr>
        <w:spacing w:after="0" w:line="240" w:lineRule="auto"/>
        <w:rPr>
          <w:rFonts w:ascii="Arial" w:hAnsi="Arial" w:cs="Arial"/>
          <w:sz w:val="20"/>
          <w:szCs w:val="20"/>
        </w:rPr>
      </w:pPr>
      <w:r>
        <w:rPr>
          <w:rFonts w:ascii="Arial" w:hAnsi="Arial" w:cs="Arial"/>
          <w:sz w:val="20"/>
          <w:szCs w:val="20"/>
        </w:rPr>
        <w:t>This idea was further developed within the Theory of Change for Activity Area 3</w:t>
      </w:r>
      <w:r>
        <w:rPr>
          <w:rStyle w:val="FootnoteReference"/>
          <w:rFonts w:ascii="Arial" w:hAnsi="Arial" w:cs="Arial"/>
          <w:sz w:val="20"/>
          <w:szCs w:val="20"/>
        </w:rPr>
        <w:footnoteReference w:id="1"/>
      </w:r>
      <w:r>
        <w:rPr>
          <w:rFonts w:ascii="Arial" w:hAnsi="Arial" w:cs="Arial"/>
          <w:sz w:val="20"/>
          <w:szCs w:val="20"/>
        </w:rPr>
        <w:t xml:space="preserve"> which suggest</w:t>
      </w:r>
      <w:r w:rsidR="00AC31B0">
        <w:rPr>
          <w:rFonts w:ascii="Arial" w:hAnsi="Arial" w:cs="Arial"/>
          <w:sz w:val="20"/>
          <w:szCs w:val="20"/>
        </w:rPr>
        <w:t>s</w:t>
      </w:r>
      <w:r>
        <w:rPr>
          <w:rFonts w:ascii="Arial" w:hAnsi="Arial" w:cs="Arial"/>
          <w:sz w:val="20"/>
          <w:szCs w:val="20"/>
        </w:rPr>
        <w:t xml:space="preserve"> that “</w:t>
      </w:r>
      <w:r w:rsidRPr="00151D31">
        <w:rPr>
          <w:rFonts w:ascii="Arial" w:hAnsi="Arial" w:cs="Arial"/>
          <w:sz w:val="20"/>
          <w:szCs w:val="20"/>
        </w:rPr>
        <w:t>the work we are developing in this area is complementing and augmenting other pieces of work, that existing tools, approaches, case studies and insights can fruitfully fuel CCSL, while we can also contribute useful resources and capaciti</w:t>
      </w:r>
      <w:r>
        <w:rPr>
          <w:rFonts w:ascii="Arial" w:hAnsi="Arial" w:cs="Arial"/>
          <w:sz w:val="20"/>
          <w:szCs w:val="20"/>
        </w:rPr>
        <w:t>es to those other 'akin' actors.”</w:t>
      </w:r>
      <w:r w:rsidR="00AC60D3">
        <w:rPr>
          <w:rFonts w:ascii="Arial" w:hAnsi="Arial" w:cs="Arial"/>
          <w:sz w:val="20"/>
          <w:szCs w:val="20"/>
        </w:rPr>
        <w:t xml:space="preserve"> To pursue the ToC’s vision that ‘</w:t>
      </w:r>
      <w:r w:rsidR="00AC60D3" w:rsidRPr="00AC60D3">
        <w:rPr>
          <w:rFonts w:ascii="Arial" w:hAnsi="Arial" w:cs="Arial"/>
          <w:sz w:val="20"/>
          <w:szCs w:val="20"/>
        </w:rPr>
        <w:t>social learning for climate change, agriculture and food security is scaled up in a qualitative manner</w:t>
      </w:r>
      <w:r w:rsidR="00AC60D3">
        <w:rPr>
          <w:rFonts w:ascii="Arial" w:hAnsi="Arial" w:cs="Arial"/>
          <w:sz w:val="20"/>
          <w:szCs w:val="20"/>
        </w:rPr>
        <w:t>’ three main steps were envisaged:</w:t>
      </w:r>
    </w:p>
    <w:p w:rsidR="00AC60D3" w:rsidRDefault="00AC60D3" w:rsidP="00AC60D3">
      <w:pPr>
        <w:numPr>
          <w:ilvl w:val="0"/>
          <w:numId w:val="3"/>
        </w:numPr>
        <w:spacing w:after="0" w:line="240" w:lineRule="auto"/>
        <w:rPr>
          <w:rFonts w:ascii="Arial" w:hAnsi="Arial" w:cs="Arial"/>
          <w:sz w:val="20"/>
          <w:szCs w:val="20"/>
        </w:rPr>
      </w:pPr>
      <w:r>
        <w:rPr>
          <w:rFonts w:ascii="Arial" w:hAnsi="Arial" w:cs="Arial"/>
          <w:sz w:val="20"/>
          <w:szCs w:val="20"/>
        </w:rPr>
        <w:t>Mapping the Field</w:t>
      </w:r>
    </w:p>
    <w:p w:rsidR="00AC60D3" w:rsidRDefault="00AC60D3" w:rsidP="00AC60D3">
      <w:pPr>
        <w:numPr>
          <w:ilvl w:val="0"/>
          <w:numId w:val="3"/>
        </w:numPr>
        <w:spacing w:after="0" w:line="240" w:lineRule="auto"/>
        <w:rPr>
          <w:rFonts w:ascii="Arial" w:hAnsi="Arial" w:cs="Arial"/>
          <w:sz w:val="20"/>
          <w:szCs w:val="20"/>
        </w:rPr>
      </w:pPr>
      <w:r>
        <w:rPr>
          <w:rFonts w:ascii="Arial" w:hAnsi="Arial" w:cs="Arial"/>
          <w:sz w:val="20"/>
          <w:szCs w:val="20"/>
        </w:rPr>
        <w:t>Mapping the Actors</w:t>
      </w:r>
    </w:p>
    <w:p w:rsidR="00AC60D3" w:rsidRDefault="00AC60D3" w:rsidP="00AC60D3">
      <w:pPr>
        <w:numPr>
          <w:ilvl w:val="0"/>
          <w:numId w:val="3"/>
        </w:numPr>
        <w:spacing w:after="0" w:line="240" w:lineRule="auto"/>
        <w:rPr>
          <w:rFonts w:ascii="Arial" w:hAnsi="Arial" w:cs="Arial"/>
          <w:sz w:val="20"/>
          <w:szCs w:val="20"/>
        </w:rPr>
      </w:pPr>
      <w:r>
        <w:rPr>
          <w:rFonts w:ascii="Arial" w:hAnsi="Arial" w:cs="Arial"/>
          <w:sz w:val="20"/>
          <w:szCs w:val="20"/>
        </w:rPr>
        <w:t>Network around Joint Interests</w:t>
      </w:r>
    </w:p>
    <w:p w:rsidR="00AC60D3" w:rsidRDefault="00AC60D3" w:rsidP="00A6669F">
      <w:pPr>
        <w:spacing w:after="0" w:line="240" w:lineRule="auto"/>
        <w:rPr>
          <w:rFonts w:ascii="Arial" w:hAnsi="Arial" w:cs="Arial"/>
          <w:sz w:val="20"/>
          <w:szCs w:val="20"/>
        </w:rPr>
      </w:pPr>
    </w:p>
    <w:p w:rsidR="00735D26" w:rsidRDefault="00764DCF" w:rsidP="00A6669F">
      <w:pPr>
        <w:spacing w:after="0" w:line="240" w:lineRule="auto"/>
        <w:rPr>
          <w:rFonts w:ascii="Arial" w:hAnsi="Arial" w:cs="Arial"/>
          <w:sz w:val="20"/>
          <w:szCs w:val="20"/>
        </w:rPr>
      </w:pPr>
      <w:r>
        <w:rPr>
          <w:rFonts w:ascii="Arial" w:hAnsi="Arial" w:cs="Arial"/>
          <w:sz w:val="20"/>
          <w:szCs w:val="20"/>
        </w:rPr>
        <w:t xml:space="preserve">The second and third steps in the ToC have not begun, and can now be brought into focus through the idea of the Face-to-Face Networking event. </w:t>
      </w:r>
      <w:r w:rsidR="00AC60D3">
        <w:rPr>
          <w:rFonts w:ascii="Arial" w:hAnsi="Arial" w:cs="Arial"/>
          <w:sz w:val="20"/>
          <w:szCs w:val="20"/>
        </w:rPr>
        <w:t xml:space="preserve">The first of these, has largely been accomplished in </w:t>
      </w:r>
      <w:r w:rsidR="003F3DAF">
        <w:rPr>
          <w:rFonts w:ascii="Arial" w:hAnsi="Arial" w:cs="Arial"/>
          <w:sz w:val="20"/>
          <w:szCs w:val="20"/>
        </w:rPr>
        <w:t>Ewen</w:t>
      </w:r>
      <w:r w:rsidR="00AC60D3">
        <w:rPr>
          <w:rFonts w:ascii="Arial" w:hAnsi="Arial" w:cs="Arial"/>
          <w:sz w:val="20"/>
          <w:szCs w:val="20"/>
        </w:rPr>
        <w:t>’s</w:t>
      </w:r>
      <w:r w:rsidR="003F3DAF">
        <w:rPr>
          <w:rFonts w:ascii="Arial" w:hAnsi="Arial" w:cs="Arial"/>
          <w:sz w:val="20"/>
          <w:szCs w:val="20"/>
        </w:rPr>
        <w:t xml:space="preserve"> draft</w:t>
      </w:r>
      <w:r w:rsidR="00AC60D3">
        <w:rPr>
          <w:rFonts w:ascii="Arial" w:hAnsi="Arial" w:cs="Arial"/>
          <w:sz w:val="20"/>
          <w:szCs w:val="20"/>
        </w:rPr>
        <w:t>ing</w:t>
      </w:r>
      <w:r w:rsidR="003F3DAF">
        <w:rPr>
          <w:rFonts w:ascii="Arial" w:hAnsi="Arial" w:cs="Arial"/>
          <w:sz w:val="20"/>
          <w:szCs w:val="20"/>
        </w:rPr>
        <w:t xml:space="preserve"> a CCSL</w:t>
      </w:r>
      <w:r w:rsidR="008B5F6D">
        <w:rPr>
          <w:rFonts w:ascii="Arial" w:hAnsi="Arial" w:cs="Arial"/>
          <w:sz w:val="20"/>
          <w:szCs w:val="20"/>
        </w:rPr>
        <w:t xml:space="preserve"> Learning</w:t>
      </w:r>
      <w:r w:rsidR="003F3DAF">
        <w:rPr>
          <w:rFonts w:ascii="Arial" w:hAnsi="Arial" w:cs="Arial"/>
          <w:sz w:val="20"/>
          <w:szCs w:val="20"/>
        </w:rPr>
        <w:t xml:space="preserve"> Brief </w:t>
      </w:r>
      <w:r w:rsidR="008B5F6D">
        <w:rPr>
          <w:rFonts w:ascii="Arial" w:hAnsi="Arial" w:cs="Arial"/>
          <w:sz w:val="20"/>
          <w:szCs w:val="20"/>
        </w:rPr>
        <w:t xml:space="preserve">‘The Happy Families of Social Learning’ where he identifies </w:t>
      </w:r>
      <w:r w:rsidR="00C867A9">
        <w:rPr>
          <w:rFonts w:ascii="Arial" w:hAnsi="Arial" w:cs="Arial"/>
          <w:sz w:val="20"/>
          <w:szCs w:val="20"/>
        </w:rPr>
        <w:t xml:space="preserve">and compares to social learning </w:t>
      </w:r>
      <w:r w:rsidR="008B5F6D">
        <w:rPr>
          <w:rFonts w:ascii="Arial" w:hAnsi="Arial" w:cs="Arial"/>
          <w:sz w:val="20"/>
          <w:szCs w:val="20"/>
        </w:rPr>
        <w:t xml:space="preserve">several </w:t>
      </w:r>
      <w:r w:rsidR="00C867A9">
        <w:rPr>
          <w:rFonts w:ascii="Arial" w:hAnsi="Arial" w:cs="Arial"/>
          <w:sz w:val="20"/>
          <w:szCs w:val="20"/>
        </w:rPr>
        <w:t xml:space="preserve">more or less related </w:t>
      </w:r>
      <w:r w:rsidR="008B5F6D">
        <w:rPr>
          <w:rFonts w:ascii="Arial" w:hAnsi="Arial" w:cs="Arial"/>
          <w:sz w:val="20"/>
          <w:szCs w:val="20"/>
        </w:rPr>
        <w:t>fields of theory / practice:</w:t>
      </w:r>
    </w:p>
    <w:p w:rsidR="008B5F6D" w:rsidRDefault="008B5F6D" w:rsidP="008B5F6D">
      <w:pPr>
        <w:numPr>
          <w:ilvl w:val="0"/>
          <w:numId w:val="2"/>
        </w:numPr>
        <w:spacing w:after="0" w:line="240" w:lineRule="auto"/>
        <w:rPr>
          <w:rFonts w:ascii="Arial" w:hAnsi="Arial" w:cs="Arial"/>
          <w:sz w:val="20"/>
          <w:szCs w:val="20"/>
        </w:rPr>
      </w:pPr>
      <w:r w:rsidRPr="008B5F6D">
        <w:rPr>
          <w:rFonts w:ascii="Arial" w:hAnsi="Arial" w:cs="Arial"/>
          <w:sz w:val="20"/>
          <w:szCs w:val="20"/>
        </w:rPr>
        <w:t>Complexity and complex adaptive systems</w:t>
      </w:r>
    </w:p>
    <w:p w:rsidR="008B5F6D" w:rsidRDefault="008B5F6D" w:rsidP="008B5F6D">
      <w:pPr>
        <w:numPr>
          <w:ilvl w:val="0"/>
          <w:numId w:val="2"/>
        </w:numPr>
        <w:spacing w:after="0" w:line="240" w:lineRule="auto"/>
        <w:rPr>
          <w:rFonts w:ascii="Arial" w:hAnsi="Arial" w:cs="Arial"/>
          <w:sz w:val="20"/>
          <w:szCs w:val="20"/>
        </w:rPr>
      </w:pPr>
      <w:r w:rsidRPr="008B5F6D">
        <w:rPr>
          <w:rFonts w:ascii="Arial" w:hAnsi="Arial" w:cs="Arial"/>
          <w:sz w:val="20"/>
          <w:szCs w:val="20"/>
        </w:rPr>
        <w:t>Thinking about wicked problems and resilience</w:t>
      </w:r>
    </w:p>
    <w:p w:rsidR="008B5F6D" w:rsidRDefault="008B5F6D" w:rsidP="008B5F6D">
      <w:pPr>
        <w:numPr>
          <w:ilvl w:val="0"/>
          <w:numId w:val="2"/>
        </w:numPr>
        <w:spacing w:after="0" w:line="240" w:lineRule="auto"/>
        <w:rPr>
          <w:rFonts w:ascii="Arial" w:hAnsi="Arial" w:cs="Arial"/>
          <w:sz w:val="20"/>
          <w:szCs w:val="20"/>
        </w:rPr>
      </w:pPr>
      <w:r w:rsidRPr="008B5F6D">
        <w:rPr>
          <w:rFonts w:ascii="Arial" w:hAnsi="Arial" w:cs="Arial"/>
          <w:sz w:val="20"/>
          <w:szCs w:val="20"/>
        </w:rPr>
        <w:t>Systems thinking</w:t>
      </w:r>
    </w:p>
    <w:p w:rsidR="008B5F6D" w:rsidRDefault="008B5F6D" w:rsidP="008B5F6D">
      <w:pPr>
        <w:numPr>
          <w:ilvl w:val="0"/>
          <w:numId w:val="2"/>
        </w:numPr>
        <w:spacing w:after="0" w:line="240" w:lineRule="auto"/>
        <w:rPr>
          <w:rFonts w:ascii="Arial" w:hAnsi="Arial" w:cs="Arial"/>
          <w:sz w:val="20"/>
          <w:szCs w:val="20"/>
        </w:rPr>
      </w:pPr>
      <w:r w:rsidRPr="008B5F6D">
        <w:rPr>
          <w:rFonts w:ascii="Arial" w:hAnsi="Arial" w:cs="Arial"/>
          <w:sz w:val="20"/>
          <w:szCs w:val="20"/>
        </w:rPr>
        <w:t>Participatory research</w:t>
      </w:r>
    </w:p>
    <w:p w:rsidR="008B5F6D" w:rsidRDefault="008B5F6D" w:rsidP="008B5F6D">
      <w:pPr>
        <w:numPr>
          <w:ilvl w:val="0"/>
          <w:numId w:val="2"/>
        </w:numPr>
        <w:spacing w:after="0" w:line="240" w:lineRule="auto"/>
        <w:rPr>
          <w:rFonts w:ascii="Arial" w:hAnsi="Arial" w:cs="Arial"/>
          <w:sz w:val="20"/>
          <w:szCs w:val="20"/>
        </w:rPr>
      </w:pPr>
      <w:r w:rsidRPr="008B5F6D">
        <w:rPr>
          <w:rFonts w:ascii="Arial" w:hAnsi="Arial" w:cs="Arial"/>
          <w:sz w:val="20"/>
          <w:szCs w:val="20"/>
        </w:rPr>
        <w:t>Action research</w:t>
      </w:r>
    </w:p>
    <w:p w:rsidR="008B5F6D" w:rsidRDefault="008B5F6D" w:rsidP="008B5F6D">
      <w:pPr>
        <w:numPr>
          <w:ilvl w:val="0"/>
          <w:numId w:val="2"/>
        </w:numPr>
        <w:spacing w:after="0" w:line="240" w:lineRule="auto"/>
        <w:rPr>
          <w:rFonts w:ascii="Arial" w:hAnsi="Arial" w:cs="Arial"/>
          <w:sz w:val="20"/>
          <w:szCs w:val="20"/>
        </w:rPr>
      </w:pPr>
      <w:r w:rsidRPr="008B5F6D">
        <w:rPr>
          <w:rFonts w:ascii="Arial" w:hAnsi="Arial" w:cs="Arial"/>
          <w:sz w:val="20"/>
          <w:szCs w:val="20"/>
        </w:rPr>
        <w:t>Social media networks</w:t>
      </w:r>
    </w:p>
    <w:p w:rsidR="008B5F6D" w:rsidRDefault="008B5F6D" w:rsidP="008B5F6D">
      <w:pPr>
        <w:numPr>
          <w:ilvl w:val="0"/>
          <w:numId w:val="2"/>
        </w:numPr>
        <w:spacing w:after="0" w:line="240" w:lineRule="auto"/>
        <w:rPr>
          <w:rFonts w:ascii="Arial" w:hAnsi="Arial" w:cs="Arial"/>
          <w:sz w:val="20"/>
          <w:szCs w:val="20"/>
        </w:rPr>
      </w:pPr>
      <w:r w:rsidRPr="008B5F6D">
        <w:rPr>
          <w:rFonts w:ascii="Arial" w:hAnsi="Arial" w:cs="Arial"/>
          <w:sz w:val="20"/>
          <w:szCs w:val="20"/>
        </w:rPr>
        <w:t>Enterprise 2.0</w:t>
      </w:r>
    </w:p>
    <w:p w:rsidR="008B5F6D" w:rsidRDefault="008B5F6D" w:rsidP="008B5F6D">
      <w:pPr>
        <w:numPr>
          <w:ilvl w:val="0"/>
          <w:numId w:val="2"/>
        </w:numPr>
        <w:spacing w:after="0" w:line="240" w:lineRule="auto"/>
        <w:rPr>
          <w:rFonts w:ascii="Arial" w:hAnsi="Arial" w:cs="Arial"/>
          <w:sz w:val="20"/>
          <w:szCs w:val="20"/>
        </w:rPr>
      </w:pPr>
      <w:r w:rsidRPr="008B5F6D">
        <w:rPr>
          <w:rFonts w:ascii="Arial" w:hAnsi="Arial" w:cs="Arial"/>
          <w:sz w:val="20"/>
          <w:szCs w:val="20"/>
        </w:rPr>
        <w:t>Crowdsourcing</w:t>
      </w:r>
    </w:p>
    <w:p w:rsidR="008B5F6D" w:rsidRDefault="008B5F6D" w:rsidP="008B5F6D">
      <w:pPr>
        <w:numPr>
          <w:ilvl w:val="0"/>
          <w:numId w:val="2"/>
        </w:numPr>
        <w:spacing w:after="0" w:line="240" w:lineRule="auto"/>
        <w:rPr>
          <w:rFonts w:ascii="Arial" w:hAnsi="Arial" w:cs="Arial"/>
          <w:sz w:val="20"/>
          <w:szCs w:val="20"/>
        </w:rPr>
      </w:pPr>
      <w:r w:rsidRPr="008B5F6D">
        <w:rPr>
          <w:rFonts w:ascii="Arial" w:hAnsi="Arial" w:cs="Arial"/>
          <w:sz w:val="20"/>
          <w:szCs w:val="20"/>
        </w:rPr>
        <w:lastRenderedPageBreak/>
        <w:t>Adult learning</w:t>
      </w:r>
    </w:p>
    <w:p w:rsidR="008B5F6D" w:rsidRDefault="008B5F6D" w:rsidP="008B5F6D">
      <w:pPr>
        <w:numPr>
          <w:ilvl w:val="0"/>
          <w:numId w:val="2"/>
        </w:numPr>
        <w:spacing w:after="0" w:line="240" w:lineRule="auto"/>
        <w:rPr>
          <w:rFonts w:ascii="Arial" w:hAnsi="Arial" w:cs="Arial"/>
          <w:sz w:val="20"/>
          <w:szCs w:val="20"/>
        </w:rPr>
      </w:pPr>
      <w:r w:rsidRPr="008B5F6D">
        <w:rPr>
          <w:rFonts w:ascii="Arial" w:hAnsi="Arial" w:cs="Arial"/>
          <w:sz w:val="20"/>
          <w:szCs w:val="20"/>
        </w:rPr>
        <w:t>Communities of practice</w:t>
      </w:r>
    </w:p>
    <w:p w:rsidR="008B5F6D" w:rsidRDefault="008B5F6D" w:rsidP="008B5F6D">
      <w:pPr>
        <w:numPr>
          <w:ilvl w:val="0"/>
          <w:numId w:val="2"/>
        </w:numPr>
        <w:spacing w:after="0" w:line="240" w:lineRule="auto"/>
        <w:rPr>
          <w:rFonts w:ascii="Arial" w:hAnsi="Arial" w:cs="Arial"/>
          <w:sz w:val="20"/>
          <w:szCs w:val="20"/>
        </w:rPr>
      </w:pPr>
      <w:r w:rsidRPr="008B5F6D">
        <w:rPr>
          <w:rFonts w:ascii="Arial" w:hAnsi="Arial" w:cs="Arial"/>
          <w:sz w:val="20"/>
          <w:szCs w:val="20"/>
        </w:rPr>
        <w:t>Organizational learning / development</w:t>
      </w:r>
    </w:p>
    <w:p w:rsidR="008B5F6D" w:rsidRDefault="008B5F6D" w:rsidP="008B5F6D">
      <w:pPr>
        <w:numPr>
          <w:ilvl w:val="0"/>
          <w:numId w:val="2"/>
        </w:numPr>
        <w:spacing w:after="0" w:line="240" w:lineRule="auto"/>
        <w:rPr>
          <w:rFonts w:ascii="Arial" w:hAnsi="Arial" w:cs="Arial"/>
          <w:sz w:val="20"/>
          <w:szCs w:val="20"/>
        </w:rPr>
      </w:pPr>
      <w:r w:rsidRPr="008B5F6D">
        <w:rPr>
          <w:rFonts w:ascii="Arial" w:hAnsi="Arial" w:cs="Arial"/>
          <w:sz w:val="20"/>
          <w:szCs w:val="20"/>
        </w:rPr>
        <w:t>Knowledge management</w:t>
      </w:r>
    </w:p>
    <w:p w:rsidR="008B5F6D" w:rsidRDefault="008B5F6D" w:rsidP="008B5F6D">
      <w:pPr>
        <w:numPr>
          <w:ilvl w:val="0"/>
          <w:numId w:val="2"/>
        </w:numPr>
        <w:spacing w:after="0" w:line="240" w:lineRule="auto"/>
        <w:rPr>
          <w:rFonts w:ascii="Arial" w:hAnsi="Arial" w:cs="Arial"/>
          <w:sz w:val="20"/>
          <w:szCs w:val="20"/>
        </w:rPr>
      </w:pPr>
      <w:r w:rsidRPr="008B5F6D">
        <w:rPr>
          <w:rFonts w:ascii="Arial" w:hAnsi="Arial" w:cs="Arial"/>
          <w:sz w:val="20"/>
          <w:szCs w:val="20"/>
        </w:rPr>
        <w:t>Innovation systems and platforms</w:t>
      </w:r>
    </w:p>
    <w:p w:rsidR="008B5F6D" w:rsidRDefault="008B5F6D" w:rsidP="008B5F6D">
      <w:pPr>
        <w:numPr>
          <w:ilvl w:val="0"/>
          <w:numId w:val="2"/>
        </w:numPr>
        <w:spacing w:after="0" w:line="240" w:lineRule="auto"/>
        <w:rPr>
          <w:rFonts w:ascii="Arial" w:hAnsi="Arial" w:cs="Arial"/>
          <w:sz w:val="20"/>
          <w:szCs w:val="20"/>
        </w:rPr>
      </w:pPr>
      <w:r w:rsidRPr="008B5F6D">
        <w:rPr>
          <w:rFonts w:ascii="Arial" w:hAnsi="Arial" w:cs="Arial"/>
          <w:sz w:val="20"/>
          <w:szCs w:val="20"/>
        </w:rPr>
        <w:t>Process/product innovation</w:t>
      </w:r>
    </w:p>
    <w:p w:rsidR="008B5F6D" w:rsidRDefault="008B5F6D" w:rsidP="008B5F6D">
      <w:pPr>
        <w:numPr>
          <w:ilvl w:val="0"/>
          <w:numId w:val="2"/>
        </w:numPr>
        <w:spacing w:after="0" w:line="240" w:lineRule="auto"/>
        <w:rPr>
          <w:rFonts w:ascii="Arial" w:hAnsi="Arial" w:cs="Arial"/>
          <w:sz w:val="20"/>
          <w:szCs w:val="20"/>
        </w:rPr>
      </w:pPr>
      <w:r w:rsidRPr="008B5F6D">
        <w:rPr>
          <w:rFonts w:ascii="Arial" w:hAnsi="Arial" w:cs="Arial"/>
          <w:sz w:val="20"/>
          <w:szCs w:val="20"/>
        </w:rPr>
        <w:t>Gender and equity</w:t>
      </w:r>
    </w:p>
    <w:p w:rsidR="008B5F6D" w:rsidRDefault="008B5F6D" w:rsidP="008B5F6D">
      <w:pPr>
        <w:spacing w:after="0" w:line="240" w:lineRule="auto"/>
        <w:rPr>
          <w:rFonts w:ascii="Arial" w:hAnsi="Arial" w:cs="Arial"/>
          <w:sz w:val="20"/>
          <w:szCs w:val="20"/>
        </w:rPr>
      </w:pPr>
    </w:p>
    <w:p w:rsidR="00764DCF" w:rsidRDefault="00082B9A" w:rsidP="008B5F6D">
      <w:pPr>
        <w:spacing w:after="0" w:line="240" w:lineRule="auto"/>
        <w:rPr>
          <w:rFonts w:ascii="Arial" w:hAnsi="Arial" w:cs="Arial"/>
          <w:sz w:val="20"/>
          <w:szCs w:val="20"/>
        </w:rPr>
      </w:pPr>
      <w:r>
        <w:rPr>
          <w:rFonts w:ascii="Arial" w:hAnsi="Arial" w:cs="Arial"/>
          <w:sz w:val="20"/>
          <w:szCs w:val="20"/>
        </w:rPr>
        <w:t xml:space="preserve">As it currently stands the theory of </w:t>
      </w:r>
      <w:proofErr w:type="gramStart"/>
      <w:r>
        <w:rPr>
          <w:rFonts w:ascii="Arial" w:hAnsi="Arial" w:cs="Arial"/>
          <w:sz w:val="20"/>
          <w:szCs w:val="20"/>
        </w:rPr>
        <w:t>change’s</w:t>
      </w:r>
      <w:proofErr w:type="gramEnd"/>
      <w:r w:rsidR="00764DCF">
        <w:rPr>
          <w:rFonts w:ascii="Arial" w:hAnsi="Arial" w:cs="Arial"/>
          <w:sz w:val="20"/>
          <w:szCs w:val="20"/>
        </w:rPr>
        <w:t xml:space="preserve"> outcom</w:t>
      </w:r>
      <w:r w:rsidR="00CC4C50">
        <w:rPr>
          <w:rFonts w:ascii="Arial" w:hAnsi="Arial" w:cs="Arial"/>
          <w:sz w:val="20"/>
          <w:szCs w:val="20"/>
        </w:rPr>
        <w:t>es for Activity Area 3 are orientated towards theory and practice and don’t have a specific development impact orientation. Building on suggestions from Philip about the new planning direction of CCAFS to 2019, it is sensible to revisit the ToC and see how this work can be most useful to the new CCAFS flagship programs.</w:t>
      </w:r>
    </w:p>
    <w:p w:rsidR="00764DCF" w:rsidRDefault="00764DCF" w:rsidP="008B5F6D">
      <w:pPr>
        <w:spacing w:after="0" w:line="240" w:lineRule="auto"/>
        <w:rPr>
          <w:rFonts w:ascii="Arial" w:hAnsi="Arial" w:cs="Arial"/>
          <w:sz w:val="20"/>
          <w:szCs w:val="20"/>
        </w:rPr>
      </w:pPr>
    </w:p>
    <w:p w:rsidR="001A29DC" w:rsidRDefault="001A29DC" w:rsidP="00D053FE">
      <w:pPr>
        <w:spacing w:after="0" w:line="240" w:lineRule="auto"/>
        <w:rPr>
          <w:rFonts w:ascii="Arial" w:hAnsi="Arial" w:cs="Arial"/>
          <w:sz w:val="20"/>
          <w:szCs w:val="20"/>
        </w:rPr>
      </w:pPr>
      <w:r>
        <w:rPr>
          <w:rFonts w:ascii="Arial" w:hAnsi="Arial" w:cs="Arial"/>
          <w:sz w:val="20"/>
          <w:szCs w:val="20"/>
        </w:rPr>
        <w:t xml:space="preserve">CCAFS </w:t>
      </w:r>
      <w:r w:rsidR="001961B4">
        <w:rPr>
          <w:rFonts w:ascii="Arial" w:hAnsi="Arial" w:cs="Arial"/>
          <w:sz w:val="20"/>
          <w:szCs w:val="20"/>
        </w:rPr>
        <w:t xml:space="preserve">is designing flagship programmes to meet eight outcome indicators by 2019.  In relation to CCSL, where </w:t>
      </w:r>
      <w:r w:rsidR="0067654D">
        <w:rPr>
          <w:rFonts w:ascii="Arial" w:hAnsi="Arial" w:cs="Arial"/>
          <w:sz w:val="20"/>
          <w:szCs w:val="20"/>
        </w:rPr>
        <w:t xml:space="preserve">our work can be most useful </w:t>
      </w:r>
      <w:r w:rsidR="001961B4">
        <w:rPr>
          <w:rFonts w:ascii="Arial" w:hAnsi="Arial" w:cs="Arial"/>
          <w:sz w:val="20"/>
          <w:szCs w:val="20"/>
        </w:rPr>
        <w:t xml:space="preserve">appears to be under Flagship </w:t>
      </w:r>
      <w:r w:rsidR="00D053FE">
        <w:rPr>
          <w:rFonts w:ascii="Arial" w:hAnsi="Arial" w:cs="Arial"/>
          <w:sz w:val="20"/>
          <w:szCs w:val="20"/>
        </w:rPr>
        <w:t>4</w:t>
      </w:r>
      <w:r w:rsidR="001961B4">
        <w:rPr>
          <w:rFonts w:ascii="Arial" w:hAnsi="Arial" w:cs="Arial"/>
          <w:sz w:val="20"/>
          <w:szCs w:val="20"/>
        </w:rPr>
        <w:t xml:space="preserve"> </w:t>
      </w:r>
      <w:r w:rsidR="00D053FE" w:rsidRPr="00D053FE">
        <w:rPr>
          <w:rFonts w:ascii="Arial" w:hAnsi="Arial" w:cs="Arial"/>
          <w:sz w:val="20"/>
          <w:szCs w:val="20"/>
        </w:rPr>
        <w:t>Policies and institutions for climate</w:t>
      </w:r>
      <w:r w:rsidR="00D053FE">
        <w:rPr>
          <w:rFonts w:ascii="Arial" w:hAnsi="Arial" w:cs="Arial"/>
          <w:sz w:val="20"/>
          <w:szCs w:val="20"/>
        </w:rPr>
        <w:t xml:space="preserve"> </w:t>
      </w:r>
      <w:r w:rsidR="00D053FE" w:rsidRPr="00D053FE">
        <w:rPr>
          <w:rFonts w:ascii="Arial" w:hAnsi="Arial" w:cs="Arial"/>
          <w:sz w:val="20"/>
          <w:szCs w:val="20"/>
        </w:rPr>
        <w:t>resilient</w:t>
      </w:r>
      <w:r w:rsidR="00D053FE">
        <w:rPr>
          <w:rFonts w:ascii="Arial" w:hAnsi="Arial" w:cs="Arial"/>
          <w:sz w:val="20"/>
          <w:szCs w:val="20"/>
        </w:rPr>
        <w:t xml:space="preserve"> </w:t>
      </w:r>
      <w:r w:rsidR="00D053FE" w:rsidRPr="00D053FE">
        <w:rPr>
          <w:rFonts w:ascii="Arial" w:hAnsi="Arial" w:cs="Arial"/>
          <w:sz w:val="20"/>
          <w:szCs w:val="20"/>
        </w:rPr>
        <w:t>food systems</w:t>
      </w:r>
      <w:r w:rsidR="001961B4">
        <w:rPr>
          <w:rFonts w:ascii="Arial" w:hAnsi="Arial" w:cs="Arial"/>
          <w:sz w:val="20"/>
          <w:szCs w:val="20"/>
        </w:rPr>
        <w:t xml:space="preserve"> </w:t>
      </w:r>
      <w:r w:rsidR="0067654D">
        <w:rPr>
          <w:rFonts w:ascii="Arial" w:hAnsi="Arial" w:cs="Arial"/>
          <w:sz w:val="20"/>
          <w:szCs w:val="20"/>
        </w:rPr>
        <w:t xml:space="preserve">where the first </w:t>
      </w:r>
      <w:r w:rsidR="001961B4">
        <w:rPr>
          <w:rFonts w:ascii="Arial" w:hAnsi="Arial" w:cs="Arial"/>
          <w:sz w:val="20"/>
          <w:szCs w:val="20"/>
        </w:rPr>
        <w:t>outcome indicator</w:t>
      </w:r>
      <w:r w:rsidR="0067654D">
        <w:rPr>
          <w:rFonts w:ascii="Arial" w:hAnsi="Arial" w:cs="Arial"/>
          <w:sz w:val="20"/>
          <w:szCs w:val="20"/>
        </w:rPr>
        <w:t xml:space="preserve"> is</w:t>
      </w:r>
      <w:r w:rsidR="001961B4">
        <w:rPr>
          <w:rFonts w:ascii="Arial" w:hAnsi="Arial" w:cs="Arial"/>
          <w:sz w:val="20"/>
          <w:szCs w:val="20"/>
        </w:rPr>
        <w:t xml:space="preserve"> that:</w:t>
      </w:r>
    </w:p>
    <w:p w:rsidR="001961B4" w:rsidRDefault="00D06631" w:rsidP="00D06631">
      <w:pPr>
        <w:spacing w:before="120" w:after="0" w:line="240" w:lineRule="auto"/>
        <w:ind w:left="851" w:right="1656"/>
        <w:rPr>
          <w:rFonts w:ascii="Arial" w:hAnsi="Arial" w:cs="Arial"/>
          <w:sz w:val="20"/>
          <w:szCs w:val="20"/>
        </w:rPr>
      </w:pPr>
      <w:r w:rsidRPr="00D06631">
        <w:rPr>
          <w:rFonts w:ascii="Arial" w:hAnsi="Arial" w:cs="Arial"/>
          <w:sz w:val="20"/>
          <w:szCs w:val="20"/>
        </w:rPr>
        <w:t>15 equitable national/subnational food system</w:t>
      </w:r>
      <w:r>
        <w:rPr>
          <w:rFonts w:ascii="Arial" w:hAnsi="Arial" w:cs="Arial"/>
          <w:sz w:val="20"/>
          <w:szCs w:val="20"/>
        </w:rPr>
        <w:t xml:space="preserve"> </w:t>
      </w:r>
      <w:r w:rsidRPr="00D06631">
        <w:rPr>
          <w:rFonts w:ascii="Arial" w:hAnsi="Arial" w:cs="Arial"/>
          <w:sz w:val="20"/>
          <w:szCs w:val="20"/>
        </w:rPr>
        <w:t>policies enacted that take into consideration climate</w:t>
      </w:r>
      <w:r>
        <w:rPr>
          <w:rFonts w:ascii="Arial" w:hAnsi="Arial" w:cs="Arial"/>
          <w:sz w:val="20"/>
          <w:szCs w:val="20"/>
        </w:rPr>
        <w:t xml:space="preserve"> </w:t>
      </w:r>
      <w:r w:rsidRPr="00D06631">
        <w:rPr>
          <w:rFonts w:ascii="Arial" w:hAnsi="Arial" w:cs="Arial"/>
          <w:sz w:val="20"/>
          <w:szCs w:val="20"/>
        </w:rPr>
        <w:t>smart practices and strategies, informed using</w:t>
      </w:r>
      <w:r>
        <w:rPr>
          <w:rFonts w:ascii="Arial" w:hAnsi="Arial" w:cs="Arial"/>
          <w:sz w:val="20"/>
          <w:szCs w:val="20"/>
        </w:rPr>
        <w:t xml:space="preserve"> </w:t>
      </w:r>
      <w:r w:rsidRPr="00D06631">
        <w:rPr>
          <w:rFonts w:ascii="Arial" w:hAnsi="Arial" w:cs="Arial"/>
          <w:sz w:val="20"/>
          <w:szCs w:val="20"/>
        </w:rPr>
        <w:t>knowledge, tools and approaches derived from CCAFS</w:t>
      </w:r>
      <w:r>
        <w:rPr>
          <w:rFonts w:ascii="Arial" w:hAnsi="Arial" w:cs="Arial"/>
          <w:sz w:val="20"/>
          <w:szCs w:val="20"/>
        </w:rPr>
        <w:t xml:space="preserve"> </w:t>
      </w:r>
      <w:r w:rsidRPr="00D06631">
        <w:rPr>
          <w:rFonts w:ascii="Arial" w:hAnsi="Arial" w:cs="Arial"/>
          <w:sz w:val="20"/>
          <w:szCs w:val="20"/>
        </w:rPr>
        <w:t>science</w:t>
      </w:r>
    </w:p>
    <w:p w:rsidR="001A29DC" w:rsidRDefault="001A29DC" w:rsidP="008B5F6D">
      <w:pPr>
        <w:spacing w:after="0" w:line="240" w:lineRule="auto"/>
        <w:rPr>
          <w:rFonts w:ascii="Arial" w:hAnsi="Arial" w:cs="Arial"/>
          <w:sz w:val="20"/>
          <w:szCs w:val="20"/>
        </w:rPr>
      </w:pPr>
    </w:p>
    <w:p w:rsidR="0067654D" w:rsidRDefault="0067654D" w:rsidP="008B5F6D">
      <w:pPr>
        <w:spacing w:after="0" w:line="240" w:lineRule="auto"/>
        <w:rPr>
          <w:rFonts w:ascii="Arial" w:hAnsi="Arial" w:cs="Arial"/>
          <w:sz w:val="20"/>
          <w:szCs w:val="20"/>
        </w:rPr>
      </w:pPr>
      <w:r>
        <w:rPr>
          <w:rFonts w:ascii="Arial" w:hAnsi="Arial" w:cs="Arial"/>
          <w:sz w:val="20"/>
          <w:szCs w:val="20"/>
        </w:rPr>
        <w:t>This is because in our CCSL work</w:t>
      </w:r>
      <w:r w:rsidR="00286894">
        <w:rPr>
          <w:rFonts w:ascii="Arial" w:hAnsi="Arial" w:cs="Arial"/>
          <w:sz w:val="20"/>
          <w:szCs w:val="20"/>
        </w:rPr>
        <w:t xml:space="preserve"> with Make</w:t>
      </w:r>
      <w:r w:rsidR="00D053FE">
        <w:rPr>
          <w:rFonts w:ascii="Arial" w:hAnsi="Arial" w:cs="Arial"/>
          <w:sz w:val="20"/>
          <w:szCs w:val="20"/>
        </w:rPr>
        <w:t xml:space="preserve">rere Univesity on </w:t>
      </w:r>
      <w:r w:rsidR="00286894">
        <w:rPr>
          <w:rFonts w:ascii="Arial" w:hAnsi="Arial" w:cs="Arial"/>
          <w:sz w:val="20"/>
          <w:szCs w:val="20"/>
        </w:rPr>
        <w:t xml:space="preserve">the Hoima Integrated Watershed Assessment project </w:t>
      </w:r>
      <w:r>
        <w:rPr>
          <w:rFonts w:ascii="Arial" w:hAnsi="Arial" w:cs="Arial"/>
          <w:sz w:val="20"/>
          <w:szCs w:val="20"/>
        </w:rPr>
        <w:t xml:space="preserve">we have already seen </w:t>
      </w:r>
      <w:r w:rsidR="00286894">
        <w:rPr>
          <w:rFonts w:ascii="Arial" w:hAnsi="Arial" w:cs="Arial"/>
          <w:sz w:val="20"/>
          <w:szCs w:val="20"/>
        </w:rPr>
        <w:t>how social learning with communities and other stakeholders can highlight policy and institutional barriers to climate smart agriculture such as land tenure which were not originally in the frame of reference set by the researchers.</w:t>
      </w:r>
      <w:r w:rsidR="00B81E02">
        <w:rPr>
          <w:rFonts w:ascii="Arial" w:hAnsi="Arial" w:cs="Arial"/>
          <w:sz w:val="20"/>
          <w:szCs w:val="20"/>
        </w:rPr>
        <w:t xml:space="preserve"> It is worth noting the climate smart agriculture isn’t a concept restricted to crops, but covers issues of interest to all CGIAR research centres including livestock, fisheries, </w:t>
      </w:r>
      <w:r w:rsidR="00AF0217">
        <w:rPr>
          <w:rFonts w:ascii="Arial" w:hAnsi="Arial" w:cs="Arial"/>
          <w:sz w:val="20"/>
          <w:szCs w:val="20"/>
        </w:rPr>
        <w:t>forest, water and land.</w:t>
      </w:r>
    </w:p>
    <w:p w:rsidR="0067654D" w:rsidRDefault="0067654D" w:rsidP="008B5F6D">
      <w:pPr>
        <w:spacing w:after="0" w:line="240" w:lineRule="auto"/>
        <w:rPr>
          <w:rFonts w:ascii="Arial" w:hAnsi="Arial" w:cs="Arial"/>
          <w:sz w:val="20"/>
          <w:szCs w:val="20"/>
        </w:rPr>
      </w:pPr>
    </w:p>
    <w:p w:rsidR="001A29DC" w:rsidRDefault="00286894" w:rsidP="001A29DC">
      <w:pPr>
        <w:spacing w:after="0" w:line="240" w:lineRule="auto"/>
        <w:rPr>
          <w:rFonts w:ascii="Arial" w:hAnsi="Arial" w:cs="Arial"/>
          <w:sz w:val="20"/>
          <w:szCs w:val="20"/>
        </w:rPr>
      </w:pPr>
      <w:r>
        <w:rPr>
          <w:rFonts w:ascii="Arial" w:hAnsi="Arial" w:cs="Arial"/>
          <w:sz w:val="20"/>
          <w:szCs w:val="20"/>
        </w:rPr>
        <w:t>CCAFS has recently published lessons from climate smart agriculture experiences</w:t>
      </w:r>
      <w:r w:rsidR="00B81E02">
        <w:rPr>
          <w:rFonts w:ascii="Arial" w:hAnsi="Arial" w:cs="Arial"/>
          <w:sz w:val="20"/>
          <w:szCs w:val="20"/>
        </w:rPr>
        <w:t>, which highlight an important need that CCSL is well suited to enabling action on.  Discussing the need for climate smart agriculture to i</w:t>
      </w:r>
      <w:r w:rsidR="001A29DC" w:rsidRPr="001A29DC">
        <w:rPr>
          <w:rFonts w:ascii="Arial" w:hAnsi="Arial" w:cs="Arial"/>
          <w:sz w:val="20"/>
          <w:szCs w:val="20"/>
        </w:rPr>
        <w:t>nvolve communities and encourage</w:t>
      </w:r>
      <w:r w:rsidR="00B81E02">
        <w:rPr>
          <w:rFonts w:ascii="Arial" w:hAnsi="Arial" w:cs="Arial"/>
          <w:sz w:val="20"/>
          <w:szCs w:val="20"/>
        </w:rPr>
        <w:t xml:space="preserve"> </w:t>
      </w:r>
      <w:r w:rsidR="001A29DC" w:rsidRPr="001A29DC">
        <w:rPr>
          <w:rFonts w:ascii="Arial" w:hAnsi="Arial" w:cs="Arial"/>
          <w:sz w:val="20"/>
          <w:szCs w:val="20"/>
        </w:rPr>
        <w:t>farmers to innovate</w:t>
      </w:r>
      <w:r w:rsidR="00B81E02">
        <w:rPr>
          <w:rFonts w:ascii="Arial" w:hAnsi="Arial" w:cs="Arial"/>
          <w:sz w:val="20"/>
          <w:szCs w:val="20"/>
        </w:rPr>
        <w:t>, the report states that:</w:t>
      </w:r>
    </w:p>
    <w:p w:rsidR="00B81E02" w:rsidRPr="001A29DC" w:rsidRDefault="00B81E02" w:rsidP="001A29DC">
      <w:pPr>
        <w:spacing w:after="0" w:line="240" w:lineRule="auto"/>
        <w:rPr>
          <w:rFonts w:ascii="Arial" w:hAnsi="Arial" w:cs="Arial"/>
          <w:sz w:val="20"/>
          <w:szCs w:val="20"/>
        </w:rPr>
      </w:pPr>
    </w:p>
    <w:p w:rsidR="001A29DC" w:rsidRDefault="001A29DC" w:rsidP="00B81E02">
      <w:pPr>
        <w:spacing w:after="0" w:line="240" w:lineRule="auto"/>
        <w:ind w:left="851" w:right="2222"/>
        <w:rPr>
          <w:rFonts w:ascii="Arial" w:hAnsi="Arial" w:cs="Arial"/>
          <w:sz w:val="20"/>
          <w:szCs w:val="20"/>
        </w:rPr>
      </w:pPr>
      <w:r w:rsidRPr="001A29DC">
        <w:rPr>
          <w:rFonts w:ascii="Arial" w:hAnsi="Arial" w:cs="Arial"/>
          <w:sz w:val="20"/>
          <w:szCs w:val="20"/>
        </w:rPr>
        <w:t>Multi-stakeholder participation and active</w:t>
      </w:r>
      <w:r w:rsidR="00B81E02">
        <w:rPr>
          <w:rFonts w:ascii="Arial" w:hAnsi="Arial" w:cs="Arial"/>
          <w:sz w:val="20"/>
          <w:szCs w:val="20"/>
        </w:rPr>
        <w:t xml:space="preserve"> </w:t>
      </w:r>
      <w:r w:rsidRPr="001A29DC">
        <w:rPr>
          <w:rFonts w:ascii="Arial" w:hAnsi="Arial" w:cs="Arial"/>
          <w:sz w:val="20"/>
          <w:szCs w:val="20"/>
        </w:rPr>
        <w:t>community involvement in project design</w:t>
      </w:r>
      <w:r w:rsidR="00B81E02">
        <w:rPr>
          <w:rFonts w:ascii="Arial" w:hAnsi="Arial" w:cs="Arial"/>
          <w:sz w:val="20"/>
          <w:szCs w:val="20"/>
        </w:rPr>
        <w:t xml:space="preserve"> </w:t>
      </w:r>
      <w:r w:rsidRPr="001A29DC">
        <w:rPr>
          <w:rFonts w:ascii="Arial" w:hAnsi="Arial" w:cs="Arial"/>
          <w:sz w:val="20"/>
          <w:szCs w:val="20"/>
        </w:rPr>
        <w:t>and development are critical for successful</w:t>
      </w:r>
      <w:r w:rsidR="00B81E02">
        <w:rPr>
          <w:rFonts w:ascii="Arial" w:hAnsi="Arial" w:cs="Arial"/>
          <w:sz w:val="20"/>
          <w:szCs w:val="20"/>
        </w:rPr>
        <w:t xml:space="preserve"> </w:t>
      </w:r>
      <w:r w:rsidRPr="001A29DC">
        <w:rPr>
          <w:rFonts w:ascii="Arial" w:hAnsi="Arial" w:cs="Arial"/>
          <w:sz w:val="20"/>
          <w:szCs w:val="20"/>
        </w:rPr>
        <w:t>climate-smart agriculture. Innovation</w:t>
      </w:r>
      <w:r w:rsidR="00B81E02">
        <w:rPr>
          <w:rFonts w:ascii="Arial" w:hAnsi="Arial" w:cs="Arial"/>
          <w:sz w:val="20"/>
          <w:szCs w:val="20"/>
        </w:rPr>
        <w:t xml:space="preserve"> </w:t>
      </w:r>
      <w:r w:rsidRPr="001A29DC">
        <w:rPr>
          <w:rFonts w:ascii="Arial" w:hAnsi="Arial" w:cs="Arial"/>
          <w:sz w:val="20"/>
          <w:szCs w:val="20"/>
        </w:rPr>
        <w:t>by farmers is also essential, but is lacking</w:t>
      </w:r>
      <w:r w:rsidR="00B81E02">
        <w:rPr>
          <w:rFonts w:ascii="Arial" w:hAnsi="Arial" w:cs="Arial"/>
          <w:sz w:val="20"/>
          <w:szCs w:val="20"/>
        </w:rPr>
        <w:t xml:space="preserve"> </w:t>
      </w:r>
      <w:r w:rsidRPr="001A29DC">
        <w:rPr>
          <w:rFonts w:ascii="Arial" w:hAnsi="Arial" w:cs="Arial"/>
          <w:sz w:val="20"/>
          <w:szCs w:val="20"/>
        </w:rPr>
        <w:t>from the experiences described in the</w:t>
      </w:r>
      <w:r w:rsidR="00B81E02">
        <w:rPr>
          <w:rFonts w:ascii="Arial" w:hAnsi="Arial" w:cs="Arial"/>
          <w:sz w:val="20"/>
          <w:szCs w:val="20"/>
        </w:rPr>
        <w:t xml:space="preserve"> </w:t>
      </w:r>
      <w:r w:rsidRPr="001A29DC">
        <w:rPr>
          <w:rFonts w:ascii="Arial" w:hAnsi="Arial" w:cs="Arial"/>
          <w:sz w:val="20"/>
          <w:szCs w:val="20"/>
        </w:rPr>
        <w:t>case studies. Practitioners, scientists and</w:t>
      </w:r>
      <w:r w:rsidR="00B81E02">
        <w:rPr>
          <w:rFonts w:ascii="Arial" w:hAnsi="Arial" w:cs="Arial"/>
          <w:sz w:val="20"/>
          <w:szCs w:val="20"/>
        </w:rPr>
        <w:t xml:space="preserve"> </w:t>
      </w:r>
      <w:r w:rsidRPr="001A29DC">
        <w:rPr>
          <w:rFonts w:ascii="Arial" w:hAnsi="Arial" w:cs="Arial"/>
          <w:sz w:val="20"/>
          <w:szCs w:val="20"/>
        </w:rPr>
        <w:t>policymakers must encourage farmers to</w:t>
      </w:r>
      <w:r w:rsidR="00B81E02">
        <w:rPr>
          <w:rFonts w:ascii="Arial" w:hAnsi="Arial" w:cs="Arial"/>
          <w:sz w:val="20"/>
          <w:szCs w:val="20"/>
        </w:rPr>
        <w:t xml:space="preserve"> </w:t>
      </w:r>
      <w:r w:rsidRPr="001A29DC">
        <w:rPr>
          <w:rFonts w:ascii="Arial" w:hAnsi="Arial" w:cs="Arial"/>
          <w:sz w:val="20"/>
          <w:szCs w:val="20"/>
        </w:rPr>
        <w:t>become actively engaged in innovation for</w:t>
      </w:r>
      <w:r w:rsidR="00B81E02">
        <w:rPr>
          <w:rFonts w:ascii="Arial" w:hAnsi="Arial" w:cs="Arial"/>
          <w:sz w:val="20"/>
          <w:szCs w:val="20"/>
        </w:rPr>
        <w:t xml:space="preserve"> </w:t>
      </w:r>
      <w:r w:rsidRPr="001A29DC">
        <w:rPr>
          <w:rFonts w:ascii="Arial" w:hAnsi="Arial" w:cs="Arial"/>
          <w:sz w:val="20"/>
          <w:szCs w:val="20"/>
        </w:rPr>
        <w:t>climate-smart agriculture.</w:t>
      </w:r>
      <w:r>
        <w:rPr>
          <w:rStyle w:val="FootnoteReference"/>
          <w:rFonts w:ascii="Arial" w:hAnsi="Arial" w:cs="Arial"/>
          <w:sz w:val="20"/>
          <w:szCs w:val="20"/>
        </w:rPr>
        <w:footnoteReference w:id="2"/>
      </w:r>
    </w:p>
    <w:p w:rsidR="001A29DC" w:rsidRDefault="001A29DC" w:rsidP="008B5F6D">
      <w:pPr>
        <w:spacing w:after="0" w:line="240" w:lineRule="auto"/>
        <w:rPr>
          <w:rFonts w:ascii="Arial" w:hAnsi="Arial" w:cs="Arial"/>
          <w:sz w:val="20"/>
          <w:szCs w:val="20"/>
        </w:rPr>
      </w:pPr>
    </w:p>
    <w:p w:rsidR="0051617A" w:rsidRDefault="0051617A" w:rsidP="00A6669F">
      <w:pPr>
        <w:spacing w:after="0" w:line="240" w:lineRule="auto"/>
        <w:rPr>
          <w:rFonts w:ascii="Arial" w:hAnsi="Arial" w:cs="Arial"/>
          <w:sz w:val="20"/>
          <w:szCs w:val="20"/>
        </w:rPr>
      </w:pPr>
      <w:r>
        <w:rPr>
          <w:rFonts w:ascii="Arial" w:hAnsi="Arial" w:cs="Arial"/>
          <w:sz w:val="20"/>
          <w:szCs w:val="20"/>
        </w:rPr>
        <w:t xml:space="preserve">As the Hoima experience showed, </w:t>
      </w:r>
      <w:r w:rsidR="00A705E0">
        <w:rPr>
          <w:rFonts w:ascii="Arial" w:hAnsi="Arial" w:cs="Arial"/>
          <w:sz w:val="20"/>
          <w:szCs w:val="20"/>
        </w:rPr>
        <w:t>f</w:t>
      </w:r>
      <w:r>
        <w:rPr>
          <w:rFonts w:ascii="Arial" w:hAnsi="Arial" w:cs="Arial"/>
          <w:sz w:val="20"/>
          <w:szCs w:val="20"/>
        </w:rPr>
        <w:t xml:space="preserve">armers </w:t>
      </w:r>
      <w:r w:rsidR="00A705E0">
        <w:rPr>
          <w:rFonts w:ascii="Arial" w:hAnsi="Arial" w:cs="Arial"/>
          <w:sz w:val="20"/>
          <w:szCs w:val="20"/>
        </w:rPr>
        <w:t>with insecure tenure “</w:t>
      </w:r>
      <w:r w:rsidR="00A705E0" w:rsidRPr="00A705E0">
        <w:rPr>
          <w:rFonts w:ascii="Arial" w:hAnsi="Arial" w:cs="Arial"/>
          <w:sz w:val="20"/>
          <w:szCs w:val="20"/>
        </w:rPr>
        <w:t>have little interest in awareness, trainings on proper agronomic practices, or how to implement adaptation measures like improved seeds or appropriate technologies</w:t>
      </w:r>
      <w:r w:rsidR="00A705E0">
        <w:rPr>
          <w:rFonts w:ascii="Arial" w:hAnsi="Arial" w:cs="Arial"/>
          <w:sz w:val="20"/>
          <w:szCs w:val="20"/>
        </w:rPr>
        <w:t>”.  A CCSL approach is suggesting that land tenure can be a significant blocking or enabling factor in farmer innovation.</w:t>
      </w:r>
    </w:p>
    <w:p w:rsidR="0051617A" w:rsidRDefault="0051617A" w:rsidP="00A6669F">
      <w:pPr>
        <w:spacing w:after="0" w:line="240" w:lineRule="auto"/>
        <w:rPr>
          <w:rFonts w:ascii="Arial" w:hAnsi="Arial" w:cs="Arial"/>
          <w:sz w:val="20"/>
          <w:szCs w:val="20"/>
        </w:rPr>
      </w:pPr>
    </w:p>
    <w:p w:rsidR="003F3DAF" w:rsidRDefault="00C867A9" w:rsidP="00A6669F">
      <w:pPr>
        <w:spacing w:after="0" w:line="240" w:lineRule="auto"/>
        <w:rPr>
          <w:rFonts w:ascii="Arial" w:hAnsi="Arial" w:cs="Arial"/>
          <w:sz w:val="20"/>
          <w:szCs w:val="20"/>
        </w:rPr>
      </w:pPr>
      <w:r>
        <w:rPr>
          <w:rFonts w:ascii="Arial" w:hAnsi="Arial" w:cs="Arial"/>
          <w:sz w:val="20"/>
          <w:szCs w:val="20"/>
        </w:rPr>
        <w:t>The Core Group meeting in Naivasha is a opportunity to further explore the idea of organising a face-to-face event in 2015</w:t>
      </w:r>
      <w:r w:rsidR="00B81E02">
        <w:rPr>
          <w:rFonts w:ascii="Arial" w:hAnsi="Arial" w:cs="Arial"/>
          <w:sz w:val="20"/>
          <w:szCs w:val="20"/>
        </w:rPr>
        <w:t xml:space="preserve"> around these issues</w:t>
      </w:r>
      <w:r>
        <w:rPr>
          <w:rFonts w:ascii="Arial" w:hAnsi="Arial" w:cs="Arial"/>
          <w:sz w:val="20"/>
          <w:szCs w:val="20"/>
        </w:rPr>
        <w:t xml:space="preserve"> and this concept note sets out some further thinking around the </w:t>
      </w:r>
      <w:r w:rsidR="001327F4">
        <w:rPr>
          <w:rFonts w:ascii="Arial" w:hAnsi="Arial" w:cs="Arial"/>
          <w:sz w:val="20"/>
          <w:szCs w:val="20"/>
        </w:rPr>
        <w:t>impact, outcomes,</w:t>
      </w:r>
      <w:r>
        <w:rPr>
          <w:rFonts w:ascii="Arial" w:hAnsi="Arial" w:cs="Arial"/>
          <w:sz w:val="20"/>
          <w:szCs w:val="20"/>
        </w:rPr>
        <w:t xml:space="preserve"> </w:t>
      </w:r>
      <w:r w:rsidR="001327F4">
        <w:rPr>
          <w:rFonts w:ascii="Arial" w:hAnsi="Arial" w:cs="Arial"/>
          <w:sz w:val="20"/>
          <w:szCs w:val="20"/>
        </w:rPr>
        <w:t xml:space="preserve">outputs </w:t>
      </w:r>
      <w:r>
        <w:rPr>
          <w:rFonts w:ascii="Arial" w:hAnsi="Arial" w:cs="Arial"/>
          <w:sz w:val="20"/>
          <w:szCs w:val="20"/>
        </w:rPr>
        <w:t>and inputs needed should we wish to take this activity forward.</w:t>
      </w:r>
    </w:p>
    <w:p w:rsidR="00C867A9" w:rsidRDefault="00C867A9" w:rsidP="00A6669F">
      <w:pPr>
        <w:spacing w:after="0" w:line="240" w:lineRule="auto"/>
        <w:rPr>
          <w:rFonts w:ascii="Arial" w:hAnsi="Arial" w:cs="Arial"/>
          <w:sz w:val="20"/>
          <w:szCs w:val="20"/>
        </w:rPr>
      </w:pPr>
    </w:p>
    <w:p w:rsidR="00C867A9" w:rsidRPr="00C867A9" w:rsidRDefault="001327F4" w:rsidP="00A6669F">
      <w:pPr>
        <w:spacing w:after="0" w:line="240" w:lineRule="auto"/>
        <w:rPr>
          <w:rFonts w:ascii="Arial" w:hAnsi="Arial" w:cs="Arial"/>
          <w:b/>
          <w:sz w:val="24"/>
          <w:szCs w:val="20"/>
        </w:rPr>
      </w:pPr>
      <w:r>
        <w:rPr>
          <w:rFonts w:ascii="Arial" w:hAnsi="Arial" w:cs="Arial"/>
          <w:b/>
          <w:sz w:val="24"/>
          <w:szCs w:val="20"/>
        </w:rPr>
        <w:t>Impact</w:t>
      </w:r>
    </w:p>
    <w:p w:rsidR="001A29DC" w:rsidRDefault="001926B9" w:rsidP="001A29DC">
      <w:pPr>
        <w:spacing w:after="0" w:line="240" w:lineRule="auto"/>
        <w:rPr>
          <w:rFonts w:ascii="Arial" w:hAnsi="Arial" w:cs="Arial"/>
          <w:sz w:val="20"/>
          <w:szCs w:val="20"/>
        </w:rPr>
      </w:pPr>
      <w:r>
        <w:rPr>
          <w:rFonts w:ascii="Arial" w:hAnsi="Arial" w:cs="Arial"/>
          <w:sz w:val="20"/>
          <w:szCs w:val="20"/>
        </w:rPr>
        <w:t>C</w:t>
      </w:r>
      <w:r w:rsidR="00AF0217">
        <w:rPr>
          <w:rFonts w:ascii="Arial" w:hAnsi="Arial" w:cs="Arial"/>
          <w:sz w:val="20"/>
          <w:szCs w:val="20"/>
        </w:rPr>
        <w:t xml:space="preserve">limate smart practices and strategies </w:t>
      </w:r>
      <w:r>
        <w:rPr>
          <w:rFonts w:ascii="Arial" w:hAnsi="Arial" w:cs="Arial"/>
          <w:sz w:val="20"/>
          <w:szCs w:val="20"/>
        </w:rPr>
        <w:t xml:space="preserve">considered </w:t>
      </w:r>
      <w:r w:rsidR="00AF0217">
        <w:rPr>
          <w:rFonts w:ascii="Arial" w:hAnsi="Arial" w:cs="Arial"/>
          <w:sz w:val="20"/>
          <w:szCs w:val="20"/>
        </w:rPr>
        <w:t xml:space="preserve">within equitable national / subnational food system policies </w:t>
      </w:r>
      <w:r>
        <w:rPr>
          <w:rFonts w:ascii="Arial" w:hAnsi="Arial" w:cs="Arial"/>
          <w:sz w:val="20"/>
          <w:szCs w:val="20"/>
        </w:rPr>
        <w:t xml:space="preserve">include more farmer innovation because </w:t>
      </w:r>
      <w:r w:rsidR="001A29DC">
        <w:rPr>
          <w:rFonts w:ascii="Arial" w:hAnsi="Arial" w:cs="Arial"/>
          <w:sz w:val="20"/>
          <w:szCs w:val="20"/>
        </w:rPr>
        <w:t xml:space="preserve">the behaviour of </w:t>
      </w:r>
      <w:r w:rsidR="0051617A">
        <w:rPr>
          <w:rFonts w:ascii="Arial" w:hAnsi="Arial" w:cs="Arial"/>
          <w:sz w:val="20"/>
          <w:szCs w:val="20"/>
        </w:rPr>
        <w:t xml:space="preserve">practitioners, scientists and policy makers </w:t>
      </w:r>
      <w:r>
        <w:rPr>
          <w:rFonts w:ascii="Arial" w:hAnsi="Arial" w:cs="Arial"/>
          <w:sz w:val="20"/>
          <w:szCs w:val="20"/>
        </w:rPr>
        <w:t xml:space="preserve">now </w:t>
      </w:r>
      <w:r w:rsidR="0051617A">
        <w:rPr>
          <w:rFonts w:ascii="Arial" w:hAnsi="Arial" w:cs="Arial"/>
          <w:sz w:val="20"/>
          <w:szCs w:val="20"/>
        </w:rPr>
        <w:t>encourage</w:t>
      </w:r>
      <w:r>
        <w:rPr>
          <w:rFonts w:ascii="Arial" w:hAnsi="Arial" w:cs="Arial"/>
          <w:sz w:val="20"/>
          <w:szCs w:val="20"/>
        </w:rPr>
        <w:t>s</w:t>
      </w:r>
      <w:r w:rsidR="0051617A">
        <w:rPr>
          <w:rFonts w:ascii="Arial" w:hAnsi="Arial" w:cs="Arial"/>
          <w:sz w:val="20"/>
          <w:szCs w:val="20"/>
        </w:rPr>
        <w:t xml:space="preserve"> </w:t>
      </w:r>
      <w:r>
        <w:rPr>
          <w:rFonts w:ascii="Arial" w:hAnsi="Arial" w:cs="Arial"/>
          <w:sz w:val="20"/>
          <w:szCs w:val="20"/>
        </w:rPr>
        <w:t>fa</w:t>
      </w:r>
      <w:r w:rsidR="0051617A">
        <w:rPr>
          <w:rFonts w:ascii="Arial" w:hAnsi="Arial" w:cs="Arial"/>
          <w:sz w:val="20"/>
          <w:szCs w:val="20"/>
        </w:rPr>
        <w:t>rmers to become actively engaged</w:t>
      </w:r>
      <w:r>
        <w:rPr>
          <w:rFonts w:ascii="Arial" w:hAnsi="Arial" w:cs="Arial"/>
          <w:sz w:val="20"/>
          <w:szCs w:val="20"/>
        </w:rPr>
        <w:t>.</w:t>
      </w:r>
    </w:p>
    <w:p w:rsidR="001327F4" w:rsidRDefault="001327F4" w:rsidP="00A6669F">
      <w:pPr>
        <w:spacing w:after="0" w:line="240" w:lineRule="auto"/>
        <w:rPr>
          <w:rFonts w:ascii="Arial" w:hAnsi="Arial" w:cs="Arial"/>
          <w:sz w:val="20"/>
          <w:szCs w:val="20"/>
        </w:rPr>
      </w:pPr>
    </w:p>
    <w:p w:rsidR="001327F4" w:rsidRPr="001327F4" w:rsidRDefault="001327F4" w:rsidP="00A6669F">
      <w:pPr>
        <w:spacing w:after="0" w:line="240" w:lineRule="auto"/>
        <w:rPr>
          <w:rFonts w:ascii="Arial" w:hAnsi="Arial" w:cs="Arial"/>
          <w:b/>
          <w:sz w:val="24"/>
          <w:szCs w:val="20"/>
        </w:rPr>
      </w:pPr>
      <w:r w:rsidRPr="001327F4">
        <w:rPr>
          <w:rFonts w:ascii="Arial" w:hAnsi="Arial" w:cs="Arial"/>
          <w:b/>
          <w:sz w:val="24"/>
          <w:szCs w:val="20"/>
        </w:rPr>
        <w:t>Outcomes</w:t>
      </w:r>
    </w:p>
    <w:p w:rsidR="001A29DC" w:rsidRDefault="00AA311C" w:rsidP="001A29DC">
      <w:pPr>
        <w:spacing w:after="0" w:line="240" w:lineRule="auto"/>
        <w:rPr>
          <w:rFonts w:ascii="Arial" w:hAnsi="Arial" w:cs="Arial"/>
          <w:sz w:val="20"/>
          <w:szCs w:val="20"/>
        </w:rPr>
      </w:pPr>
      <w:r>
        <w:rPr>
          <w:rFonts w:ascii="Arial" w:hAnsi="Arial" w:cs="Arial"/>
          <w:sz w:val="20"/>
          <w:szCs w:val="20"/>
        </w:rPr>
        <w:lastRenderedPageBreak/>
        <w:t xml:space="preserve">Tools </w:t>
      </w:r>
      <w:r w:rsidR="001926B9">
        <w:rPr>
          <w:rFonts w:ascii="Arial" w:hAnsi="Arial" w:cs="Arial"/>
          <w:sz w:val="20"/>
          <w:szCs w:val="20"/>
        </w:rPr>
        <w:t xml:space="preserve">are </w:t>
      </w:r>
      <w:r>
        <w:rPr>
          <w:rFonts w:ascii="Arial" w:hAnsi="Arial" w:cs="Arial"/>
          <w:sz w:val="20"/>
          <w:szCs w:val="20"/>
        </w:rPr>
        <w:t>available that enable farmers, scientists</w:t>
      </w:r>
      <w:r w:rsidR="001926B9">
        <w:rPr>
          <w:rFonts w:ascii="Arial" w:hAnsi="Arial" w:cs="Arial"/>
          <w:sz w:val="20"/>
          <w:szCs w:val="20"/>
        </w:rPr>
        <w:t>, practitioners and policymakers</w:t>
      </w:r>
      <w:r>
        <w:rPr>
          <w:rFonts w:ascii="Arial" w:hAnsi="Arial" w:cs="Arial"/>
          <w:sz w:val="20"/>
          <w:szCs w:val="20"/>
        </w:rPr>
        <w:t xml:space="preserve"> to </w:t>
      </w:r>
      <w:r w:rsidR="001E3CDB">
        <w:rPr>
          <w:rFonts w:ascii="Arial" w:hAnsi="Arial" w:cs="Arial"/>
          <w:sz w:val="20"/>
          <w:szCs w:val="20"/>
        </w:rPr>
        <w:t xml:space="preserve">collaboratively </w:t>
      </w:r>
      <w:r w:rsidR="001926B9">
        <w:rPr>
          <w:rFonts w:ascii="Arial" w:hAnsi="Arial" w:cs="Arial"/>
          <w:sz w:val="20"/>
          <w:szCs w:val="20"/>
        </w:rPr>
        <w:t>learn about</w:t>
      </w:r>
      <w:r>
        <w:rPr>
          <w:rFonts w:ascii="Arial" w:hAnsi="Arial" w:cs="Arial"/>
          <w:sz w:val="20"/>
          <w:szCs w:val="20"/>
        </w:rPr>
        <w:t xml:space="preserve"> policy and institutional enablers and constraints to </w:t>
      </w:r>
      <w:r w:rsidR="001926B9">
        <w:rPr>
          <w:rFonts w:ascii="Arial" w:hAnsi="Arial" w:cs="Arial"/>
          <w:sz w:val="20"/>
          <w:szCs w:val="20"/>
        </w:rPr>
        <w:t xml:space="preserve">farmer engagement in </w:t>
      </w:r>
      <w:r>
        <w:rPr>
          <w:rFonts w:ascii="Arial" w:hAnsi="Arial" w:cs="Arial"/>
          <w:sz w:val="20"/>
          <w:szCs w:val="20"/>
        </w:rPr>
        <w:t>innovation for climate smart agriculture</w:t>
      </w:r>
      <w:r w:rsidR="001E3CDB">
        <w:rPr>
          <w:rFonts w:ascii="Arial" w:hAnsi="Arial" w:cs="Arial"/>
          <w:sz w:val="20"/>
          <w:szCs w:val="20"/>
        </w:rPr>
        <w:t>.</w:t>
      </w:r>
    </w:p>
    <w:p w:rsidR="001327F4" w:rsidRDefault="001327F4" w:rsidP="00A6669F">
      <w:pPr>
        <w:spacing w:after="0" w:line="240" w:lineRule="auto"/>
        <w:rPr>
          <w:rFonts w:ascii="Arial" w:hAnsi="Arial" w:cs="Arial"/>
          <w:sz w:val="20"/>
          <w:szCs w:val="20"/>
        </w:rPr>
      </w:pPr>
    </w:p>
    <w:p w:rsidR="001327F4" w:rsidRPr="00747A20" w:rsidRDefault="001327F4" w:rsidP="00A6669F">
      <w:pPr>
        <w:spacing w:after="0" w:line="240" w:lineRule="auto"/>
        <w:rPr>
          <w:rFonts w:ascii="Arial" w:hAnsi="Arial" w:cs="Arial"/>
          <w:b/>
          <w:sz w:val="24"/>
          <w:szCs w:val="20"/>
        </w:rPr>
      </w:pPr>
      <w:r w:rsidRPr="00747A20">
        <w:rPr>
          <w:rFonts w:ascii="Arial" w:hAnsi="Arial" w:cs="Arial"/>
          <w:b/>
          <w:sz w:val="24"/>
          <w:szCs w:val="20"/>
        </w:rPr>
        <w:t>O</w:t>
      </w:r>
      <w:r w:rsidR="00747A20" w:rsidRPr="00747A20">
        <w:rPr>
          <w:rFonts w:ascii="Arial" w:hAnsi="Arial" w:cs="Arial"/>
          <w:b/>
          <w:sz w:val="24"/>
          <w:szCs w:val="20"/>
        </w:rPr>
        <w:t>utputs</w:t>
      </w:r>
    </w:p>
    <w:p w:rsidR="00BC115C" w:rsidRDefault="001E3CDB" w:rsidP="00BC115C">
      <w:pPr>
        <w:spacing w:after="0" w:line="240" w:lineRule="auto"/>
        <w:rPr>
          <w:rFonts w:ascii="Arial" w:hAnsi="Arial" w:cs="Arial"/>
          <w:sz w:val="20"/>
          <w:szCs w:val="20"/>
        </w:rPr>
      </w:pPr>
      <w:r>
        <w:rPr>
          <w:rFonts w:ascii="Arial" w:hAnsi="Arial" w:cs="Arial"/>
          <w:sz w:val="20"/>
          <w:szCs w:val="20"/>
        </w:rPr>
        <w:t>R</w:t>
      </w:r>
      <w:r w:rsidR="00BC115C">
        <w:rPr>
          <w:rFonts w:ascii="Arial" w:hAnsi="Arial" w:cs="Arial"/>
          <w:sz w:val="20"/>
          <w:szCs w:val="20"/>
        </w:rPr>
        <w:t xml:space="preserve">epresentatives of communities / networks related to social learning </w:t>
      </w:r>
      <w:r w:rsidR="00482586">
        <w:rPr>
          <w:rFonts w:ascii="Arial" w:hAnsi="Arial" w:cs="Arial"/>
          <w:sz w:val="20"/>
          <w:szCs w:val="20"/>
        </w:rPr>
        <w:t xml:space="preserve">have </w:t>
      </w:r>
      <w:r w:rsidR="00874CE0">
        <w:rPr>
          <w:rFonts w:ascii="Arial" w:hAnsi="Arial" w:cs="Arial"/>
          <w:sz w:val="20"/>
          <w:szCs w:val="20"/>
        </w:rPr>
        <w:t>package</w:t>
      </w:r>
      <w:r w:rsidR="00482586">
        <w:rPr>
          <w:rFonts w:ascii="Arial" w:hAnsi="Arial" w:cs="Arial"/>
          <w:sz w:val="20"/>
          <w:szCs w:val="20"/>
        </w:rPr>
        <w:t>d</w:t>
      </w:r>
      <w:r w:rsidR="00874CE0">
        <w:rPr>
          <w:rFonts w:ascii="Arial" w:hAnsi="Arial" w:cs="Arial"/>
          <w:sz w:val="20"/>
          <w:szCs w:val="20"/>
        </w:rPr>
        <w:t xml:space="preserve"> tools </w:t>
      </w:r>
      <w:r w:rsidR="00512558">
        <w:rPr>
          <w:rFonts w:ascii="Arial" w:hAnsi="Arial" w:cs="Arial"/>
          <w:sz w:val="20"/>
          <w:szCs w:val="20"/>
        </w:rPr>
        <w:t>from their collective expertise that enable collaborative learning about policy and institutional factors in farmer innovation for climate smart agriculture.</w:t>
      </w:r>
    </w:p>
    <w:p w:rsidR="001327F4" w:rsidRDefault="001327F4" w:rsidP="00A6669F">
      <w:pPr>
        <w:spacing w:after="0" w:line="240" w:lineRule="auto"/>
        <w:rPr>
          <w:rFonts w:ascii="Arial" w:hAnsi="Arial" w:cs="Arial"/>
          <w:sz w:val="20"/>
          <w:szCs w:val="20"/>
        </w:rPr>
      </w:pPr>
    </w:p>
    <w:p w:rsidR="001327F4" w:rsidRPr="00747A20" w:rsidRDefault="001327F4" w:rsidP="00A6669F">
      <w:pPr>
        <w:spacing w:after="0" w:line="240" w:lineRule="auto"/>
        <w:rPr>
          <w:rFonts w:ascii="Arial" w:hAnsi="Arial" w:cs="Arial"/>
          <w:b/>
          <w:sz w:val="24"/>
          <w:szCs w:val="20"/>
        </w:rPr>
      </w:pPr>
      <w:r w:rsidRPr="00747A20">
        <w:rPr>
          <w:rFonts w:ascii="Arial" w:hAnsi="Arial" w:cs="Arial"/>
          <w:b/>
          <w:sz w:val="24"/>
          <w:szCs w:val="20"/>
        </w:rPr>
        <w:t>Inputs</w:t>
      </w:r>
    </w:p>
    <w:p w:rsidR="00021845" w:rsidRDefault="00512558" w:rsidP="00A6669F">
      <w:pPr>
        <w:numPr>
          <w:ilvl w:val="0"/>
          <w:numId w:val="4"/>
        </w:numPr>
        <w:spacing w:after="0" w:line="240" w:lineRule="auto"/>
        <w:rPr>
          <w:rFonts w:ascii="Arial" w:hAnsi="Arial" w:cs="Arial"/>
          <w:sz w:val="20"/>
          <w:szCs w:val="20"/>
        </w:rPr>
      </w:pPr>
      <w:r w:rsidRPr="00021845">
        <w:rPr>
          <w:rFonts w:ascii="Arial" w:hAnsi="Arial" w:cs="Arial"/>
          <w:sz w:val="20"/>
          <w:szCs w:val="20"/>
        </w:rPr>
        <w:t>Mapping the actors in communities / networks related to social learning</w:t>
      </w:r>
      <w:r w:rsidR="00482586">
        <w:rPr>
          <w:rFonts w:ascii="Arial" w:hAnsi="Arial" w:cs="Arial"/>
          <w:sz w:val="20"/>
          <w:szCs w:val="20"/>
        </w:rPr>
        <w:t xml:space="preserve"> (within and beyond the CGIAR)</w:t>
      </w:r>
      <w:r w:rsidRPr="00021845">
        <w:rPr>
          <w:rFonts w:ascii="Arial" w:hAnsi="Arial" w:cs="Arial"/>
          <w:sz w:val="20"/>
          <w:szCs w:val="20"/>
        </w:rPr>
        <w:t xml:space="preserve"> with expertise in policies, institutions and farmer innovation, building on the </w:t>
      </w:r>
      <w:r w:rsidR="00021845" w:rsidRPr="00021845">
        <w:rPr>
          <w:rFonts w:ascii="Arial" w:hAnsi="Arial" w:cs="Arial"/>
          <w:sz w:val="20"/>
          <w:szCs w:val="20"/>
        </w:rPr>
        <w:t>Happy Families learning brief, the Sandbox members and wiki resources</w:t>
      </w:r>
      <w:r w:rsidR="00764DCF" w:rsidRPr="00021845">
        <w:rPr>
          <w:rFonts w:ascii="Arial" w:hAnsi="Arial" w:cs="Arial"/>
          <w:sz w:val="20"/>
          <w:szCs w:val="20"/>
        </w:rPr>
        <w:t xml:space="preserve">. A matrix will be elaborated to plot possible objectives or joint interests with the CCSL group, paving the way for the next </w:t>
      </w:r>
      <w:r w:rsidR="00021845">
        <w:rPr>
          <w:rFonts w:ascii="Arial" w:hAnsi="Arial" w:cs="Arial"/>
          <w:sz w:val="20"/>
          <w:szCs w:val="20"/>
        </w:rPr>
        <w:t>input</w:t>
      </w:r>
    </w:p>
    <w:p w:rsidR="00747A20" w:rsidRDefault="00021845" w:rsidP="00A6669F">
      <w:pPr>
        <w:numPr>
          <w:ilvl w:val="0"/>
          <w:numId w:val="4"/>
        </w:numPr>
        <w:spacing w:after="0" w:line="240" w:lineRule="auto"/>
        <w:rPr>
          <w:rFonts w:ascii="Arial" w:hAnsi="Arial" w:cs="Arial"/>
          <w:sz w:val="20"/>
          <w:szCs w:val="20"/>
        </w:rPr>
      </w:pPr>
      <w:r>
        <w:rPr>
          <w:rFonts w:ascii="Arial" w:hAnsi="Arial" w:cs="Arial"/>
          <w:sz w:val="20"/>
          <w:szCs w:val="20"/>
        </w:rPr>
        <w:t>Identify an existing event in 2015 that CCSL could collaborate with to organise a 3 day face-to-face event with mapped actors to review, adapt and plan how to package tools that enable collaborative learning about policy and institutional factors in farmer innovation for climate smart agriculture</w:t>
      </w:r>
    </w:p>
    <w:p w:rsidR="00021845" w:rsidRPr="00021845" w:rsidRDefault="00482586" w:rsidP="00A6669F">
      <w:pPr>
        <w:numPr>
          <w:ilvl w:val="0"/>
          <w:numId w:val="4"/>
        </w:numPr>
        <w:spacing w:after="0" w:line="240" w:lineRule="auto"/>
        <w:rPr>
          <w:rFonts w:ascii="Arial" w:hAnsi="Arial" w:cs="Arial"/>
          <w:sz w:val="20"/>
          <w:szCs w:val="20"/>
        </w:rPr>
      </w:pPr>
      <w:r>
        <w:rPr>
          <w:rFonts w:ascii="Arial" w:hAnsi="Arial" w:cs="Arial"/>
          <w:sz w:val="20"/>
          <w:szCs w:val="20"/>
        </w:rPr>
        <w:t>With support from CCAFS Communications team, willing participants from the face-to-face event continue working remotely to package the tools</w:t>
      </w:r>
    </w:p>
    <w:p w:rsidR="00747A20" w:rsidRDefault="00747A20" w:rsidP="00A6669F">
      <w:pPr>
        <w:spacing w:after="0" w:line="240" w:lineRule="auto"/>
        <w:rPr>
          <w:rFonts w:ascii="Arial" w:hAnsi="Arial" w:cs="Arial"/>
          <w:sz w:val="20"/>
          <w:szCs w:val="20"/>
        </w:rPr>
      </w:pPr>
    </w:p>
    <w:p w:rsidR="001A29DC" w:rsidRDefault="001A29DC" w:rsidP="001A29DC">
      <w:pPr>
        <w:spacing w:after="0" w:line="240" w:lineRule="auto"/>
        <w:rPr>
          <w:rFonts w:ascii="Arial" w:hAnsi="Arial" w:cs="Arial"/>
          <w:sz w:val="20"/>
          <w:szCs w:val="20"/>
        </w:rPr>
      </w:pPr>
    </w:p>
    <w:p w:rsidR="00747A20" w:rsidRPr="000B6F94" w:rsidRDefault="00747A20" w:rsidP="00A6669F">
      <w:pPr>
        <w:spacing w:after="0" w:line="240" w:lineRule="auto"/>
        <w:rPr>
          <w:rFonts w:ascii="Arial" w:hAnsi="Arial" w:cs="Arial"/>
          <w:sz w:val="20"/>
          <w:szCs w:val="20"/>
        </w:rPr>
      </w:pPr>
    </w:p>
    <w:sectPr w:rsidR="00747A20" w:rsidRPr="000B6F94" w:rsidSect="00230AB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1435" w:rsidRDefault="00031435" w:rsidP="001A29DC">
      <w:pPr>
        <w:spacing w:after="0" w:line="240" w:lineRule="auto"/>
      </w:pPr>
      <w:r>
        <w:separator/>
      </w:r>
    </w:p>
  </w:endnote>
  <w:endnote w:type="continuationSeparator" w:id="0">
    <w:p w:rsidR="00031435" w:rsidRDefault="00031435" w:rsidP="001A29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1435" w:rsidRDefault="00031435" w:rsidP="001A29DC">
      <w:pPr>
        <w:spacing w:after="0" w:line="240" w:lineRule="auto"/>
      </w:pPr>
      <w:r>
        <w:separator/>
      </w:r>
    </w:p>
  </w:footnote>
  <w:footnote w:type="continuationSeparator" w:id="0">
    <w:p w:rsidR="00031435" w:rsidRDefault="00031435" w:rsidP="001A29DC">
      <w:pPr>
        <w:spacing w:after="0" w:line="240" w:lineRule="auto"/>
      </w:pPr>
      <w:r>
        <w:continuationSeparator/>
      </w:r>
    </w:p>
  </w:footnote>
  <w:footnote w:id="1">
    <w:p w:rsidR="00151D31" w:rsidRDefault="00151D31">
      <w:pPr>
        <w:pStyle w:val="FootnoteText"/>
      </w:pPr>
      <w:r>
        <w:rPr>
          <w:rStyle w:val="FootnoteReference"/>
        </w:rPr>
        <w:footnoteRef/>
      </w:r>
      <w:r>
        <w:t xml:space="preserve"> Theory of Change for Activity Area 3 - </w:t>
      </w:r>
      <w:r w:rsidRPr="00151D31">
        <w:t>http://ccsl.wikispaces.com/Area3_Coalition_Building_Networking</w:t>
      </w:r>
    </w:p>
  </w:footnote>
  <w:footnote w:id="2">
    <w:p w:rsidR="001A29DC" w:rsidRDefault="001A29DC">
      <w:pPr>
        <w:pStyle w:val="FootnoteText"/>
      </w:pPr>
      <w:r>
        <w:rPr>
          <w:rStyle w:val="FootnoteReference"/>
        </w:rPr>
        <w:footnoteRef/>
      </w:r>
      <w:r>
        <w:t xml:space="preserve"> CCAFS (2014), Evidence of Impact: Climate Smart Agriculture in Africa - </w:t>
      </w:r>
      <w:r w:rsidRPr="001A29DC">
        <w:t>https://cgspace.cgiar.org/bitstream/handle/10568/51721/climate_smart_farming_successes_Africa.pdf</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2946A3"/>
    <w:multiLevelType w:val="hybridMultilevel"/>
    <w:tmpl w:val="BC5CB8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0C148DD"/>
    <w:multiLevelType w:val="hybridMultilevel"/>
    <w:tmpl w:val="1BB2F0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A83146B"/>
    <w:multiLevelType w:val="hybridMultilevel"/>
    <w:tmpl w:val="F13E7B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7A4590D"/>
    <w:multiLevelType w:val="hybridMultilevel"/>
    <w:tmpl w:val="2E281A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69F"/>
    <w:rsid w:val="00021845"/>
    <w:rsid w:val="00031435"/>
    <w:rsid w:val="00082B9A"/>
    <w:rsid w:val="000B6F94"/>
    <w:rsid w:val="001327F4"/>
    <w:rsid w:val="00151D31"/>
    <w:rsid w:val="001926B9"/>
    <w:rsid w:val="001961B4"/>
    <w:rsid w:val="001A29DC"/>
    <w:rsid w:val="001E3CDB"/>
    <w:rsid w:val="001F5FA0"/>
    <w:rsid w:val="00230ABC"/>
    <w:rsid w:val="00286894"/>
    <w:rsid w:val="003A0E10"/>
    <w:rsid w:val="003F3DAF"/>
    <w:rsid w:val="00482586"/>
    <w:rsid w:val="00512558"/>
    <w:rsid w:val="0051617A"/>
    <w:rsid w:val="00635D05"/>
    <w:rsid w:val="006558FA"/>
    <w:rsid w:val="0067654D"/>
    <w:rsid w:val="006F499E"/>
    <w:rsid w:val="00735D26"/>
    <w:rsid w:val="00747A20"/>
    <w:rsid w:val="00764DCF"/>
    <w:rsid w:val="007E64D0"/>
    <w:rsid w:val="007F6F97"/>
    <w:rsid w:val="00874CE0"/>
    <w:rsid w:val="008B5F6D"/>
    <w:rsid w:val="009425CD"/>
    <w:rsid w:val="00A6669F"/>
    <w:rsid w:val="00A705E0"/>
    <w:rsid w:val="00A823A8"/>
    <w:rsid w:val="00AA311C"/>
    <w:rsid w:val="00AC31B0"/>
    <w:rsid w:val="00AC60D3"/>
    <w:rsid w:val="00AF0217"/>
    <w:rsid w:val="00B32063"/>
    <w:rsid w:val="00B81E02"/>
    <w:rsid w:val="00BC115C"/>
    <w:rsid w:val="00C867A9"/>
    <w:rsid w:val="00CA2E63"/>
    <w:rsid w:val="00CC4C50"/>
    <w:rsid w:val="00D053FE"/>
    <w:rsid w:val="00D06631"/>
    <w:rsid w:val="00DB3403"/>
    <w:rsid w:val="00E16274"/>
    <w:rsid w:val="00F707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8D3740-643E-447F-BFF0-DF910EAD9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0ABC"/>
    <w:pPr>
      <w:spacing w:after="200" w:line="276" w:lineRule="auto"/>
    </w:pPr>
    <w:rPr>
      <w:sz w:val="22"/>
      <w:szCs w:val="22"/>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F3D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1A29DC"/>
    <w:rPr>
      <w:sz w:val="20"/>
      <w:szCs w:val="20"/>
    </w:rPr>
  </w:style>
  <w:style w:type="character" w:customStyle="1" w:styleId="FootnoteTextChar">
    <w:name w:val="Footnote Text Char"/>
    <w:link w:val="FootnoteText"/>
    <w:uiPriority w:val="99"/>
    <w:semiHidden/>
    <w:rsid w:val="001A29DC"/>
    <w:rPr>
      <w:lang w:eastAsia="en-US"/>
    </w:rPr>
  </w:style>
  <w:style w:type="character" w:styleId="FootnoteReference">
    <w:name w:val="footnote reference"/>
    <w:uiPriority w:val="99"/>
    <w:semiHidden/>
    <w:unhideWhenUsed/>
    <w:rsid w:val="001A29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7872754">
      <w:bodyDiv w:val="1"/>
      <w:marLeft w:val="0"/>
      <w:marRight w:val="0"/>
      <w:marTop w:val="0"/>
      <w:marBottom w:val="0"/>
      <w:divBdr>
        <w:top w:val="none" w:sz="0" w:space="0" w:color="auto"/>
        <w:left w:val="none" w:sz="0" w:space="0" w:color="auto"/>
        <w:bottom w:val="none" w:sz="0" w:space="0" w:color="auto"/>
        <w:right w:val="none" w:sz="0" w:space="0" w:color="auto"/>
      </w:divBdr>
    </w:div>
    <w:div w:id="375853636">
      <w:bodyDiv w:val="1"/>
      <w:marLeft w:val="0"/>
      <w:marRight w:val="0"/>
      <w:marTop w:val="0"/>
      <w:marBottom w:val="0"/>
      <w:divBdr>
        <w:top w:val="none" w:sz="0" w:space="0" w:color="auto"/>
        <w:left w:val="none" w:sz="0" w:space="0" w:color="auto"/>
        <w:bottom w:val="none" w:sz="0" w:space="0" w:color="auto"/>
        <w:right w:val="none" w:sz="0" w:space="0" w:color="auto"/>
      </w:divBdr>
    </w:div>
    <w:div w:id="610674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A4F7EA-7913-4CA0-84CE-F342D4757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1043</Words>
  <Characters>5949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Westhill Knowledge Limited</Company>
  <LinksUpToDate>false</LinksUpToDate>
  <CharactersWithSpaces>6979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 Jackson</dc:creator>
  <cp:keywords/>
  <cp:lastModifiedBy>LeBorgne, Ewen (ILRI)</cp:lastModifiedBy>
  <cp:revision>2</cp:revision>
  <dcterms:created xsi:type="dcterms:W3CDTF">2014-12-22T13:30:00Z</dcterms:created>
  <dcterms:modified xsi:type="dcterms:W3CDTF">2014-12-22T13:30:00Z</dcterms:modified>
</cp:coreProperties>
</file>