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Title</w:t>
      </w:r>
    </w:p>
    <w:p w:rsidP="00000000" w:rsidRPr="00000000" w:rsidR="00000000" w:rsidDel="00000000" w:rsidRDefault="00000000">
      <w:pPr/>
      <w:r w:rsidRPr="00000000" w:rsidR="00000000" w:rsidDel="00000000">
        <w:rPr>
          <w:color w:val="222222"/>
          <w:sz w:val="20"/>
          <w:highlight w:val="white"/>
          <w:rtl w:val="0"/>
        </w:rPr>
        <w:t xml:space="preserve">Connecting, Engaging and Learning with CCAFS Innovators</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Session leaders</w:t>
      </w:r>
    </w:p>
    <w:p w:rsidP="00000000" w:rsidRPr="00000000" w:rsidR="00000000" w:rsidDel="00000000" w:rsidRDefault="00000000">
      <w:pPr/>
      <w:r w:rsidRPr="00000000" w:rsidR="00000000" w:rsidDel="00000000">
        <w:rPr>
          <w:color w:val="222222"/>
          <w:sz w:val="20"/>
          <w:highlight w:val="white"/>
          <w:rtl w:val="0"/>
        </w:rPr>
        <w:t xml:space="preserve">Carl Jackson (Westhill Knowledge) - </w:t>
      </w:r>
      <w:r w:rsidRPr="00000000" w:rsidR="00000000" w:rsidDel="00000000">
        <w:rPr>
          <w:color w:val="222222"/>
          <w:sz w:val="20"/>
          <w:highlight w:val="white"/>
          <w:rtl w:val="0"/>
        </w:rPr>
        <w:t xml:space="preserve">carl.jackson@wkg.uk.net</w:t>
      </w:r>
      <w:r w:rsidRPr="00000000" w:rsidR="00000000" w:rsidDel="00000000">
        <w:rPr>
          <w:rtl w:val="0"/>
        </w:rPr>
      </w:r>
    </w:p>
    <w:p w:rsidP="00000000" w:rsidRPr="00000000" w:rsidR="00000000" w:rsidDel="00000000" w:rsidRDefault="00000000">
      <w:pPr/>
      <w:r w:rsidRPr="00000000" w:rsidR="00000000" w:rsidDel="00000000">
        <w:rPr>
          <w:color w:val="222222"/>
          <w:sz w:val="20"/>
          <w:highlight w:val="white"/>
          <w:rtl w:val="0"/>
        </w:rPr>
        <w:t xml:space="preserve">Ewen Le Borgne (ILRI) - </w:t>
      </w:r>
      <w:r w:rsidRPr="00000000" w:rsidR="00000000" w:rsidDel="00000000">
        <w:rPr>
          <w:color w:val="222222"/>
          <w:sz w:val="20"/>
          <w:highlight w:val="white"/>
          <w:rtl w:val="0"/>
        </w:rPr>
        <w:t xml:space="preserve">e.leborgne@cgiar.org</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Purpose</w:t>
      </w:r>
    </w:p>
    <w:p w:rsidP="00000000" w:rsidRPr="00000000" w:rsidR="00000000" w:rsidDel="00000000" w:rsidRDefault="00000000">
      <w:pPr/>
      <w:r w:rsidRPr="00000000" w:rsidR="00000000" w:rsidDel="00000000">
        <w:rPr>
          <w:sz w:val="20"/>
          <w:rtl w:val="0"/>
        </w:rPr>
        <w:t xml:space="preserve">To familiarise you with the CCSL Sandbox by road testing Co-Design as a potential approach to </w:t>
      </w:r>
      <w:r w:rsidRPr="00000000" w:rsidR="00000000" w:rsidDel="00000000">
        <w:rPr>
          <w:color w:val="222222"/>
          <w:sz w:val="20"/>
          <w:highlight w:val="white"/>
          <w:rtl w:val="0"/>
        </w:rPr>
        <w:t xml:space="preserve">inform and improve current and future CCAFS work.</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Outline</w:t>
      </w:r>
    </w:p>
    <w:p w:rsidP="00000000" w:rsidRPr="00000000" w:rsidR="00000000" w:rsidDel="00000000" w:rsidRDefault="00000000">
      <w:pPr/>
      <w:r w:rsidRPr="00000000" w:rsidR="00000000" w:rsidDel="00000000">
        <w:rPr>
          <w:color w:val="222222"/>
          <w:sz w:val="20"/>
          <w:highlight w:val="white"/>
          <w:rtl w:val="0"/>
        </w:rPr>
        <w:t xml:space="preserve">The CCSL Sandbox is an online space where fifty CGIAR staff and partners spanning 22 organisations have been meeting to discuss </w:t>
      </w:r>
      <w:r w:rsidRPr="00000000" w:rsidR="00000000" w:rsidDel="00000000">
        <w:rPr>
          <w:color w:val="222222"/>
          <w:sz w:val="20"/>
          <w:highlight w:val="white"/>
          <w:rtl w:val="0"/>
        </w:rPr>
        <w:t xml:space="preserve">social learning, participatory communication and action research.  The Sandbox space has been particularly good at enabling people with problems to get help in developing initial ideas towards solutions (e.g. producing stock-takes of CGIAR experience, the SL narrative and video, the IDS Climate Change Knowledge Exchange workshop, etc).  In this session you can experience the Sandbox Offline as we explore</w:t>
      </w:r>
      <w:r w:rsidRPr="00000000" w:rsidR="00000000" w:rsidDel="00000000">
        <w:rPr>
          <w:color w:val="222222"/>
          <w:sz w:val="20"/>
          <w:highlight w:val="white"/>
          <w:rtl w:val="0"/>
        </w:rPr>
        <w:t xml:space="preserve"> Co-Design.  Co-Design is an approach developed in industrial and architectural design practice that is: hands on and collaborative; allows us to learn fast and fail safely; and promotes free thinking.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color w:val="222222"/>
          <w:sz w:val="20"/>
          <w:highlight w:val="white"/>
          <w:rtl w:val="0"/>
        </w:rPr>
        <w:t xml:space="preserve">Three small groups will draw on their experiences beyond the agricultural research sector to generate new choices about how to make CCAFS generated knowledge link to action.  Each group will have access to craft resources to develop emerging ideas into physical prototype solutions that will be shared with other groups later in the session to get their feedback on outstanding challenges.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Intended outputs</w:t>
      </w:r>
    </w:p>
    <w:p w:rsidP="00000000" w:rsidRPr="00000000" w:rsidR="00000000" w:rsidDel="00000000" w:rsidRDefault="00000000">
      <w:pPr/>
      <w:r w:rsidRPr="00000000" w:rsidR="00000000" w:rsidDel="00000000">
        <w:rPr>
          <w:color w:val="222222"/>
          <w:sz w:val="20"/>
          <w:highlight w:val="white"/>
          <w:rtl w:val="0"/>
        </w:rPr>
        <w:t xml:space="preserve">Prototype partnership, engagement, communications and capacity building solutions for themes and regions to make CCAFS generated knowledge result in actions that contribute to sustainable poverty reduction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color w:val="222222"/>
          <w:sz w:val="20"/>
          <w:highlight w:val="white"/>
          <w:rtl w:val="0"/>
        </w:rPr>
        <w:t xml:space="preserve">Requested inputs from session participants</w:t>
      </w:r>
    </w:p>
    <w:p w:rsidP="00000000" w:rsidRPr="00000000" w:rsidR="00000000" w:rsidDel="00000000" w:rsidRDefault="00000000">
      <w:pPr/>
      <w:r w:rsidRPr="00000000" w:rsidR="00000000" w:rsidDel="00000000">
        <w:rPr>
          <w:color w:val="222222"/>
          <w:sz w:val="20"/>
          <w:highlight w:val="white"/>
          <w:rtl w:val="0"/>
        </w:rPr>
        <w:t xml:space="preserve">As a ‘Solution Seeker’, bring your problem in making knowledge link to action and invite others to solve it</w:t>
      </w:r>
    </w:p>
    <w:p w:rsidP="00000000" w:rsidRPr="00000000" w:rsidR="00000000" w:rsidDel="00000000" w:rsidRDefault="00000000">
      <w:pPr/>
      <w:r w:rsidRPr="00000000" w:rsidR="00000000" w:rsidDel="00000000">
        <w:rPr>
          <w:color w:val="222222"/>
          <w:sz w:val="20"/>
          <w:highlight w:val="white"/>
          <w:rtl w:val="0"/>
        </w:rPr>
        <w:t xml:space="preserve">As a ‘Critical Friend’, bring your professional and personal experience and contribute it to solving a problem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Sandbox Parallel Session Day 2 CCAFS Science Meeting.docx</dc:title>
</cp:coreProperties>
</file>